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w:t>
      </w:r>
      <w:r>
        <w:rPr>
          <w:rFonts w:hint="eastAsia" w:cs="Arial"/>
          <w:b/>
          <w:lang w:val="en-US" w:eastAsia="zh-CN"/>
        </w:rPr>
        <w:t xml:space="preserve">25-bis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402651</w:t>
      </w:r>
      <w:bookmarkStart w:id="7" w:name="_GoBack"/>
      <w:bookmarkEnd w:id="7"/>
    </w:p>
    <w:p>
      <w:pPr>
        <w:snapToGrid w:val="0"/>
        <w:spacing w:after="0" w:line="240" w:lineRule="auto"/>
        <w:rPr>
          <w:rFonts w:cs="Arial"/>
          <w:b/>
          <w:lang w:val="en-US" w:eastAsia="zh-CN"/>
        </w:rPr>
      </w:pPr>
      <w:r>
        <w:rPr>
          <w:rFonts w:hint="eastAsia" w:cs="Arial"/>
          <w:b/>
          <w:lang w:val="en-US" w:eastAsia="zh-CN"/>
        </w:rPr>
        <w:t>Changsha</w:t>
      </w:r>
      <w:r>
        <w:rPr>
          <w:rFonts w:cs="Arial"/>
          <w:b/>
        </w:rPr>
        <w:t>,</w:t>
      </w:r>
      <w:r>
        <w:rPr>
          <w:rFonts w:hint="eastAsia" w:cs="Arial"/>
          <w:b/>
          <w:lang w:val="en-US" w:eastAsia="zh-CN"/>
        </w:rPr>
        <w:t xml:space="preserve"> China, Apr</w:t>
      </w:r>
      <w:r>
        <w:rPr>
          <w:rFonts w:cs="Arial"/>
          <w:b/>
        </w:rPr>
        <w:t xml:space="preserve"> </w:t>
      </w:r>
      <w:r>
        <w:rPr>
          <w:rFonts w:hint="eastAsia" w:cs="Arial"/>
          <w:b/>
          <w:lang w:val="en-US" w:eastAsia="zh-CN"/>
        </w:rPr>
        <w:t>15</w:t>
      </w:r>
      <w:r>
        <w:rPr>
          <w:rFonts w:hint="eastAsia" w:cs="Arial"/>
          <w:b/>
          <w:vertAlign w:val="superscript"/>
          <w:lang w:val="en-US" w:eastAsia="zh-CN"/>
        </w:rPr>
        <w:t>th</w:t>
      </w:r>
      <w:r>
        <w:rPr>
          <w:rFonts w:cs="Arial"/>
          <w:b/>
        </w:rPr>
        <w:t xml:space="preserve"> –</w:t>
      </w:r>
      <w:r>
        <w:rPr>
          <w:rFonts w:hint="eastAsia" w:cs="Arial"/>
          <w:b/>
          <w:lang w:val="en-US" w:eastAsia="zh-CN"/>
        </w:rPr>
        <w:t xml:space="preserve"> 19</w:t>
      </w:r>
      <w:r>
        <w:rPr>
          <w:rFonts w:hint="eastAsia" w:cs="Arial"/>
          <w:b/>
          <w:vertAlign w:val="superscript"/>
          <w:lang w:val="en-US" w:eastAsia="zh-CN"/>
        </w:rPr>
        <w:t>th</w:t>
      </w:r>
      <w:r>
        <w:rPr>
          <w:rFonts w:cs="Arial"/>
          <w:b/>
        </w:rPr>
        <w:t>, 202</w:t>
      </w:r>
      <w:r>
        <w:rPr>
          <w:rFonts w:hint="eastAsia" w:cs="Arial"/>
          <w:b/>
          <w:lang w:val="en-US" w:eastAsia="zh-CN"/>
        </w:rPr>
        <w:t>4</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w:t>
      </w:r>
      <w:r>
        <w:rPr>
          <w:rFonts w:hint="eastAsia" w:eastAsia="宋体" w:cs="Arial"/>
          <w:b/>
          <w:lang w:val="en-US" w:eastAsia="zh-CN"/>
        </w:rPr>
        <w:t xml:space="preserve">   Considerations</w:t>
      </w:r>
      <w:r>
        <w:rPr>
          <w:rFonts w:eastAsia="宋体" w:cs="Arial"/>
          <w:b/>
        </w:rPr>
        <w:t xml:space="preserve"> </w:t>
      </w:r>
      <w:r>
        <w:rPr>
          <w:rFonts w:hint="eastAsia" w:eastAsia="宋体" w:cs="Arial"/>
          <w:b/>
          <w:lang w:val="en-US" w:eastAsia="zh-CN"/>
        </w:rPr>
        <w:t>on LCM for NW side model</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Agenda item:   8.1.2.1</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hint="eastAsia" w:cs="Arial"/>
          <w:b/>
          <w:lang w:val="en-US" w:eastAsia="zh-CN"/>
        </w:rPr>
        <w:t xml:space="preserve">  </w:t>
      </w:r>
      <w:r>
        <w:rPr>
          <w:rFonts w:cs="Arial"/>
          <w:b/>
          <w:lang w:eastAsia="ja-JP"/>
        </w:rPr>
        <w:t>Discussion and Decision</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Introductio</w:t>
      </w:r>
      <w:r>
        <w:rPr>
          <w:rFonts w:cs="Arial"/>
          <w:kern w:val="0"/>
          <w:sz w:val="28"/>
          <w:szCs w:val="32"/>
        </w:rPr>
        <w:t>n</w:t>
      </w:r>
    </w:p>
    <w:p>
      <w:pPr>
        <w:adjustRightInd w:val="0"/>
        <w:snapToGrid w:val="0"/>
        <w:spacing w:before="156" w:beforeLines="50" w:after="156" w:afterLines="50" w:line="240" w:lineRule="auto"/>
        <w:rPr>
          <w:rFonts w:ascii="Times New Roman" w:hAnsi="Times New Roman" w:eastAsia="宋体"/>
          <w:lang w:val="en-US" w:eastAsia="zh-CN"/>
        </w:rPr>
      </w:pPr>
      <w:r>
        <w:rPr>
          <w:rFonts w:ascii="Times New Roman" w:hAnsi="Times New Roman" w:eastAsia="宋体"/>
          <w:lang w:val="en-US" w:eastAsia="zh-CN"/>
        </w:rPr>
        <w:t>The WID[1] of Rel-19 AI FS_NR_AIML_Air that is related to RAN2 work is specified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ascii="Times New Roman" w:hAnsi="Times New Roman"/>
                <w:bCs/>
              </w:rPr>
            </w:pPr>
            <w:r>
              <w:rPr>
                <w:rFonts w:ascii="Times New Roman" w:hAnsi="Times New Roman"/>
                <w:bCs/>
              </w:rPr>
              <w:t>Provide specification support for the following aspects:</w:t>
            </w:r>
          </w:p>
          <w:p>
            <w:pPr>
              <w:numPr>
                <w:ilvl w:val="0"/>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AI/ML general framework for one-sided AI/ML models within the realm of what has been studied in the FS_NR_AIML_Air project [RAN2]:</w:t>
            </w:r>
          </w:p>
          <w:p>
            <w:pPr>
              <w:numPr>
                <w:ilvl w:val="1"/>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Signalling and protocol aspects of Life Cycle Management (LCM) enabling functionality and model (if justified) selection, activation, deactivation, switching, fallback</w:t>
            </w:r>
          </w:p>
          <w:p>
            <w:pPr>
              <w:numPr>
                <w:ilvl w:val="2"/>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 xml:space="preserve">Identification related signalling is part of the above objective </w:t>
            </w:r>
          </w:p>
          <w:p>
            <w:pPr>
              <w:numPr>
                <w:ilvl w:val="1"/>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Necessary signalling/mechanism(s) for LCM to facilitate model training, inference, performance monitoring, data collection (except for the purpose of CN/OAM/OTT collection of UE-sided model training data) for both UE-sided and NW-sided models</w:t>
            </w:r>
          </w:p>
          <w:p>
            <w:pPr>
              <w:numPr>
                <w:ilvl w:val="1"/>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Signalling mechanism of applicable functionalities/models</w:t>
            </w:r>
          </w:p>
          <w:p>
            <w:pPr>
              <w:adjustRightInd w:val="0"/>
              <w:snapToGrid w:val="0"/>
              <w:spacing w:before="156" w:beforeLines="50" w:after="156" w:afterLines="50" w:line="240" w:lineRule="auto"/>
              <w:ind w:left="720"/>
              <w:rPr>
                <w:rFonts w:ascii="Times New Roman" w:hAnsi="Times New Roman"/>
                <w:bCs/>
              </w:rPr>
            </w:pPr>
          </w:p>
          <w:p>
            <w:pPr>
              <w:numPr>
                <w:ilvl w:val="0"/>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Beam management - DL Tx beam prediction for both UE-sided model and NW-sided model, encompassing [RAN1/RAN2]:</w:t>
            </w:r>
          </w:p>
          <w:p>
            <w:pPr>
              <w:numPr>
                <w:ilvl w:val="1"/>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Spatial-domain DL Tx beam prediction for Set A of beams based on measurement results of Set B of beams (“BM-Case1”)</w:t>
            </w:r>
          </w:p>
          <w:p>
            <w:pPr>
              <w:numPr>
                <w:ilvl w:val="1"/>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Temporal DL Tx beam prediction for Set A of beams based on the historic measurement results of Set B of beams (“BM-Case2”)</w:t>
            </w:r>
          </w:p>
          <w:p>
            <w:pPr>
              <w:numPr>
                <w:ilvl w:val="1"/>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Specify necessary signalling/mechanism(s) to facilitate LCM operations specific to the Beam Management use cases, if any</w:t>
            </w:r>
          </w:p>
          <w:p>
            <w:pPr>
              <w:numPr>
                <w:ilvl w:val="1"/>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 xml:space="preserve">Enabling method(s) to ensure consistency between training and inference regarding NW-side additional conditions (if identified) for inference at UE </w:t>
            </w:r>
          </w:p>
          <w:p>
            <w:pPr>
              <w:adjustRightInd w:val="0"/>
              <w:snapToGrid w:val="0"/>
              <w:spacing w:before="156" w:beforeLines="50" w:after="156" w:afterLines="50" w:line="240" w:lineRule="auto"/>
              <w:ind w:left="360" w:firstLine="720"/>
              <w:rPr>
                <w:rFonts w:ascii="Times New Roman" w:hAnsi="Times New Roman"/>
                <w:bCs/>
              </w:rPr>
            </w:pPr>
            <w:r>
              <w:rPr>
                <w:rFonts w:ascii="Times New Roman" w:hAnsi="Times New Roman"/>
                <w:bCs/>
              </w:rPr>
              <w:t>NOTE: Strive for common framework design to support both BM-Case1 and BM-Case2</w:t>
            </w:r>
          </w:p>
          <w:p>
            <w:pPr>
              <w:adjustRightInd w:val="0"/>
              <w:snapToGrid w:val="0"/>
              <w:spacing w:before="156" w:beforeLines="50" w:after="156" w:afterLines="50" w:line="240" w:lineRule="auto"/>
              <w:ind w:left="720"/>
              <w:rPr>
                <w:rFonts w:ascii="Times New Roman" w:hAnsi="Times New Roman"/>
                <w:bCs/>
              </w:rPr>
            </w:pPr>
          </w:p>
          <w:p>
            <w:pPr>
              <w:numPr>
                <w:ilvl w:val="0"/>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Positioning accuracy enhancements, encompassing [RAN1/RAN2/RAN3]:</w:t>
            </w:r>
          </w:p>
          <w:p>
            <w:pPr>
              <w:numPr>
                <w:ilvl w:val="1"/>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Direct AI/ML positioning:</w:t>
            </w:r>
          </w:p>
          <w:p>
            <w:pPr>
              <w:numPr>
                <w:ilvl w:val="2"/>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(1</w:t>
            </w:r>
            <w:r>
              <w:rPr>
                <w:rFonts w:ascii="Times New Roman" w:hAnsi="Times New Roman"/>
                <w:bCs/>
                <w:vertAlign w:val="superscript"/>
              </w:rPr>
              <w:t>st</w:t>
            </w:r>
            <w:r>
              <w:rPr>
                <w:rFonts w:ascii="Times New Roman" w:hAnsi="Times New Roman"/>
                <w:bCs/>
              </w:rPr>
              <w:t xml:space="preserve"> priority) Case 1: </w:t>
            </w:r>
            <w:r>
              <w:rPr>
                <w:rFonts w:ascii="Times New Roman" w:hAnsi="Times New Roman"/>
              </w:rPr>
              <w:t>UE-based positioning with UE-side model, direct AI/ML positioning</w:t>
            </w:r>
          </w:p>
          <w:p>
            <w:pPr>
              <w:numPr>
                <w:ilvl w:val="2"/>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(2</w:t>
            </w:r>
            <w:r>
              <w:rPr>
                <w:rFonts w:ascii="Times New Roman" w:hAnsi="Times New Roman"/>
                <w:bCs/>
                <w:vertAlign w:val="superscript"/>
              </w:rPr>
              <w:t>nd</w:t>
            </w:r>
            <w:r>
              <w:rPr>
                <w:rFonts w:ascii="Times New Roman" w:hAnsi="Times New Roman"/>
                <w:bCs/>
              </w:rPr>
              <w:t xml:space="preserve"> priority) Case 2b: </w:t>
            </w:r>
            <w:r>
              <w:rPr>
                <w:rFonts w:ascii="Times New Roman" w:hAnsi="Times New Roman"/>
              </w:rPr>
              <w:t>UE-assisted/LMF-based positioning with LMF-side model, direct AI/ML positioning</w:t>
            </w:r>
          </w:p>
          <w:p>
            <w:pPr>
              <w:numPr>
                <w:ilvl w:val="2"/>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(1</w:t>
            </w:r>
            <w:r>
              <w:rPr>
                <w:rFonts w:ascii="Times New Roman" w:hAnsi="Times New Roman"/>
                <w:bCs/>
                <w:vertAlign w:val="superscript"/>
              </w:rPr>
              <w:t>st</w:t>
            </w:r>
            <w:r>
              <w:rPr>
                <w:rFonts w:ascii="Times New Roman" w:hAnsi="Times New Roman"/>
                <w:bCs/>
              </w:rPr>
              <w:t xml:space="preserve"> priority) Case 3b:</w:t>
            </w:r>
            <w:r>
              <w:rPr>
                <w:rFonts w:ascii="Times New Roman" w:hAnsi="Times New Roman"/>
              </w:rPr>
              <w:t xml:space="preserve"> NG-RAN node assisted positioning with LMF-side model, direct AI/ML positioning</w:t>
            </w:r>
          </w:p>
          <w:p>
            <w:pPr>
              <w:numPr>
                <w:ilvl w:val="1"/>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 xml:space="preserve">AI/ML assisted positioning </w:t>
            </w:r>
            <w:r>
              <w:rPr>
                <w:rFonts w:ascii="Times New Roman" w:hAnsi="Times New Roman"/>
                <w:bCs/>
              </w:rPr>
              <w:tab/>
            </w:r>
            <w:r>
              <w:rPr>
                <w:rFonts w:ascii="Times New Roman" w:hAnsi="Times New Roman"/>
                <w:bCs/>
              </w:rPr>
              <w:tab/>
            </w:r>
            <w:r>
              <w:rPr>
                <w:rFonts w:ascii="Times New Roman" w:hAnsi="Times New Roman"/>
                <w:bCs/>
              </w:rPr>
              <w:t xml:space="preserve"> </w:t>
            </w:r>
          </w:p>
          <w:p>
            <w:pPr>
              <w:numPr>
                <w:ilvl w:val="2"/>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(2</w:t>
            </w:r>
            <w:r>
              <w:rPr>
                <w:rFonts w:ascii="Times New Roman" w:hAnsi="Times New Roman"/>
                <w:bCs/>
                <w:vertAlign w:val="superscript"/>
              </w:rPr>
              <w:t>nd</w:t>
            </w:r>
            <w:r>
              <w:rPr>
                <w:rFonts w:ascii="Times New Roman" w:hAnsi="Times New Roman"/>
                <w:bCs/>
              </w:rPr>
              <w:t xml:space="preserve"> priority) Case 2a: </w:t>
            </w:r>
            <w:r>
              <w:rPr>
                <w:rFonts w:ascii="Times New Roman" w:hAnsi="Times New Roman"/>
              </w:rPr>
              <w:t>UE-assisted/LMF-based positioning with UE-side model, AI/ML assisted positioning</w:t>
            </w:r>
            <w:r>
              <w:rPr>
                <w:rFonts w:ascii="Times New Roman" w:hAnsi="Times New Roman"/>
                <w:bCs/>
              </w:rPr>
              <w:tab/>
            </w:r>
          </w:p>
          <w:p>
            <w:pPr>
              <w:numPr>
                <w:ilvl w:val="2"/>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(1</w:t>
            </w:r>
            <w:r>
              <w:rPr>
                <w:rFonts w:ascii="Times New Roman" w:hAnsi="Times New Roman"/>
                <w:bCs/>
                <w:vertAlign w:val="superscript"/>
              </w:rPr>
              <w:t>st</w:t>
            </w:r>
            <w:r>
              <w:rPr>
                <w:rFonts w:ascii="Times New Roman" w:hAnsi="Times New Roman"/>
                <w:bCs/>
              </w:rPr>
              <w:t xml:space="preserve"> priority) Case 3a: </w:t>
            </w:r>
            <w:r>
              <w:rPr>
                <w:rFonts w:ascii="Times New Roman" w:hAnsi="Times New Roman"/>
              </w:rPr>
              <w:t>NG-RAN node assisted positioning with gNB-side model, AI/ML assisted positioning</w:t>
            </w:r>
          </w:p>
          <w:p>
            <w:pPr>
              <w:numPr>
                <w:ilvl w:val="1"/>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Specify necessary measurements, signalling/mechanism(s) to facilitate LCM operations specific to the Positioning accuracy enhancements use cases, if any</w:t>
            </w:r>
          </w:p>
          <w:p>
            <w:pPr>
              <w:numPr>
                <w:ilvl w:val="1"/>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Investigate and specify the necessary signalling of necessary measurement enhancements (if any)</w:t>
            </w:r>
          </w:p>
          <w:p>
            <w:pPr>
              <w:numPr>
                <w:ilvl w:val="1"/>
                <w:numId w:val="6"/>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Enabling method(s) to ensure consistency between training and inference regarding NW-side additional conditions (if identified) for inference at UE for relevant positioning sub use cases</w:t>
            </w:r>
          </w:p>
          <w:p>
            <w:pPr>
              <w:numPr>
                <w:ilvl w:val="0"/>
                <w:numId w:val="7"/>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 xml:space="preserve">Necessity and details of model Identification concept and procedure in the context of LCM [RAN2/RAN1] </w:t>
            </w:r>
          </w:p>
          <w:p>
            <w:pPr>
              <w:numPr>
                <w:ilvl w:val="0"/>
                <w:numId w:val="7"/>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 xml:space="preserve">CN/OAM/OTT collection of UE-sided model training data [RAN2/RAN1]: </w:t>
            </w:r>
          </w:p>
          <w:p>
            <w:pPr>
              <w:numPr>
                <w:ilvl w:val="1"/>
                <w:numId w:val="7"/>
              </w:numPr>
              <w:adjustRightInd w:val="0"/>
              <w:snapToGrid w:val="0"/>
              <w:spacing w:before="156" w:beforeLines="50" w:after="156" w:afterLines="50" w:line="240" w:lineRule="auto"/>
              <w:jc w:val="left"/>
              <w:rPr>
                <w:rFonts w:ascii="Times New Roman" w:hAnsi="Times New Roman"/>
                <w:bCs/>
              </w:rPr>
            </w:pPr>
            <w:bookmarkStart w:id="5" w:name="_Hlk152950182"/>
            <w:r>
              <w:rPr>
                <w:rFonts w:ascii="Times New Roman" w:hAnsi="Times New Roman"/>
                <w:bCs/>
              </w:rPr>
              <w:t>For the FS_NR_AIML_Air study use cases, identify the corresponding contents of UE data collection</w:t>
            </w:r>
          </w:p>
          <w:p>
            <w:pPr>
              <w:numPr>
                <w:ilvl w:val="1"/>
                <w:numId w:val="7"/>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Analyse the UE data collection mechanisms identified during the FS_NR_AIML_Air (TR 38.843 section 7.2.1.3.2) study along with the implications and limitations of each of the methods</w:t>
            </w:r>
            <w:bookmarkEnd w:id="5"/>
            <w:r>
              <w:rPr>
                <w:rFonts w:ascii="Times New Roman" w:hAnsi="Times New Roman"/>
                <w:bCs/>
              </w:rPr>
              <w:t xml:space="preserve"> </w:t>
            </w:r>
          </w:p>
          <w:p>
            <w:pPr>
              <w:numPr>
                <w:ilvl w:val="0"/>
                <w:numId w:val="7"/>
              </w:numPr>
              <w:adjustRightInd w:val="0"/>
              <w:snapToGrid w:val="0"/>
              <w:spacing w:before="156" w:beforeLines="50" w:after="156" w:afterLines="50" w:line="240" w:lineRule="auto"/>
              <w:jc w:val="left"/>
              <w:rPr>
                <w:rFonts w:ascii="Times New Roman" w:hAnsi="Times New Roman"/>
                <w:bCs/>
              </w:rPr>
            </w:pPr>
            <w:r>
              <w:rPr>
                <w:rFonts w:ascii="Times New Roman" w:hAnsi="Times New Roman"/>
                <w:bCs/>
              </w:rPr>
              <w:t xml:space="preserve">Model transfer/delivery [RAN2/RAN1]: </w:t>
            </w:r>
          </w:p>
          <w:p>
            <w:pPr>
              <w:numPr>
                <w:ilvl w:val="1"/>
                <w:numId w:val="7"/>
              </w:numPr>
              <w:adjustRightInd w:val="0"/>
              <w:snapToGrid w:val="0"/>
              <w:spacing w:before="156" w:beforeLines="50" w:after="156" w:afterLines="50" w:line="240" w:lineRule="auto"/>
              <w:jc w:val="left"/>
              <w:rPr>
                <w:rFonts w:ascii="Times New Roman" w:hAnsi="Times New Roman"/>
                <w:bCs/>
              </w:rPr>
            </w:pPr>
            <w:bookmarkStart w:id="6" w:name="_Hlk152950348"/>
            <w:r>
              <w:rPr>
                <w:rFonts w:ascii="Times New Roman" w:hAnsi="Times New Roman"/>
                <w:bCs/>
              </w:rPr>
              <w:t xml:space="preserve">Determine whether there is a need to consider standardised solutions for transferring/delivering AI/ML model(s) considering at least the solutions identified during the </w:t>
            </w:r>
            <w:bookmarkEnd w:id="6"/>
            <w:r>
              <w:rPr>
                <w:rFonts w:ascii="Times New Roman" w:hAnsi="Times New Roman"/>
                <w:bCs/>
              </w:rPr>
              <w:t xml:space="preserve">FS_NR_AIML_Air study </w:t>
            </w:r>
          </w:p>
          <w:p>
            <w:pPr>
              <w:adjustRightInd w:val="0"/>
              <w:snapToGrid w:val="0"/>
              <w:spacing w:before="156" w:beforeLines="50" w:after="156" w:afterLines="50" w:line="240" w:lineRule="auto"/>
              <w:rPr>
                <w:rFonts w:ascii="Times New Roman" w:hAnsi="Times New Roman"/>
                <w:bCs/>
              </w:rPr>
            </w:pPr>
          </w:p>
          <w:p>
            <w:pPr>
              <w:adjustRightInd w:val="0"/>
              <w:snapToGrid w:val="0"/>
              <w:spacing w:before="156" w:beforeLines="50" w:after="156" w:afterLines="50" w:line="240" w:lineRule="auto"/>
              <w:rPr>
                <w:rFonts w:ascii="Times New Roman" w:hAnsi="Times New Roman"/>
                <w:bCs/>
              </w:rPr>
            </w:pPr>
            <w:r>
              <w:rPr>
                <w:rFonts w:ascii="Times New Roman" w:hAnsi="Times New Roman"/>
                <w:bCs/>
              </w:rPr>
              <w:t xml:space="preserve">NOTE: offline training is assumed for the purpose of this project. </w:t>
            </w:r>
          </w:p>
          <w:p>
            <w:pPr>
              <w:adjustRightInd w:val="0"/>
              <w:snapToGrid w:val="0"/>
              <w:spacing w:before="156" w:beforeLines="50" w:after="156" w:afterLines="50" w:line="240" w:lineRule="auto"/>
              <w:rPr>
                <w:rFonts w:ascii="Times New Roman" w:hAnsi="Times New Roman"/>
                <w:bCs/>
              </w:rPr>
            </w:pPr>
            <w:r>
              <w:rPr>
                <w:rFonts w:ascii="Times New Roman" w:hAnsi="Times New Roman"/>
                <w:bCs/>
              </w:rPr>
              <w:t xml:space="preserve">NOTE: the outcome of the study objectives should be captured in TR 38.843 for future reference. </w:t>
            </w:r>
          </w:p>
          <w:p>
            <w:pPr>
              <w:adjustRightInd w:val="0"/>
              <w:snapToGrid w:val="0"/>
              <w:spacing w:before="156" w:beforeLines="50" w:after="156" w:afterLines="50" w:line="240" w:lineRule="auto"/>
              <w:rPr>
                <w:rFonts w:ascii="Times New Roman" w:hAnsi="Times New Roman" w:eastAsia="宋体"/>
                <w:lang w:val="en-US" w:eastAsia="zh-CN"/>
              </w:rPr>
            </w:pPr>
            <w:r>
              <w:rPr>
                <w:rFonts w:ascii="Times New Roman" w:hAnsi="Times New Roman"/>
                <w:bCs/>
              </w:rPr>
              <w:t xml:space="preserve">NOTE: </w:t>
            </w:r>
            <w:r>
              <w:rPr>
                <w:rFonts w:ascii="Times New Roman" w:hAnsi="Times New Roman"/>
              </w:rPr>
              <w:t xml:space="preserve">Coordination with SA/SA WGs of the ongoing study/work as it may relate to their required work. </w:t>
            </w:r>
          </w:p>
        </w:tc>
      </w:tr>
    </w:tbl>
    <w:p>
      <w:pPr>
        <w:adjustRightInd w:val="0"/>
        <w:snapToGrid w:val="0"/>
        <w:spacing w:before="156" w:beforeLines="50" w:after="156" w:afterLines="50" w:line="240" w:lineRule="auto"/>
        <w:rPr>
          <w:rFonts w:ascii="Times New Roman" w:hAnsi="Times New Roman"/>
          <w:sz w:val="20"/>
          <w:lang w:val="en-US" w:eastAsia="zh-CN"/>
        </w:rPr>
      </w:pPr>
      <w:r>
        <w:rPr>
          <w:rFonts w:ascii="Times New Roman" w:hAnsi="Times New Roman" w:eastAsia="宋体"/>
          <w:lang w:val="en-US" w:eastAsia="zh-CN"/>
        </w:rPr>
        <w:t xml:space="preserve">This contribution provides our view on LCM for NW side model, focusing on beam management use case and positioning priority 1 subcases.  </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hint="eastAsia" w:cs="Arial"/>
          <w:kern w:val="0"/>
          <w:sz w:val="28"/>
          <w:szCs w:val="28"/>
          <w:lang w:val="en-US" w:eastAsia="zh-CN"/>
        </w:rPr>
        <w:t>Discussio</w:t>
      </w:r>
      <w:r>
        <w:rPr>
          <w:rFonts w:cs="Arial"/>
          <w:kern w:val="0"/>
          <w:sz w:val="28"/>
          <w:szCs w:val="28"/>
        </w:rPr>
        <w:t>n</w:t>
      </w:r>
    </w:p>
    <w:p>
      <w:pPr>
        <w:pStyle w:val="3"/>
        <w:rPr>
          <w:lang w:val="en-US" w:eastAsia="zh-CN"/>
        </w:rPr>
      </w:pPr>
      <w:r>
        <w:rPr>
          <w:lang w:val="en-US" w:eastAsia="zh-CN"/>
        </w:rPr>
        <w:t>AI/ML based positioning</w:t>
      </w:r>
    </w:p>
    <w:p>
      <w:pPr>
        <w:pStyle w:val="4"/>
        <w:rPr>
          <w:lang w:val="en-US" w:eastAsia="zh-CN"/>
        </w:rPr>
      </w:pPr>
      <w:r>
        <w:rPr>
          <w:rFonts w:hint="eastAsia"/>
          <w:lang w:val="en-US" w:eastAsia="zh-CN"/>
        </w:rPr>
        <w:t>Granularity of functionality for AL/ML positioning</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According to 38.843[2], the functionality identification is specified as follows: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b/>
              </w:rPr>
              <w:t>Functionality identification:</w:t>
            </w:r>
            <w:r>
              <w:rPr>
                <w:rFonts w:ascii="Times New Roman" w:hAnsi="Times New Roman"/>
              </w:rPr>
              <w:t xml:space="preserve"> A process/method of identifying an AI/ML functionality for the common understanding between the NW and the UE.</w:t>
            </w:r>
            <w:r>
              <w:rPr>
                <w:rFonts w:ascii="Times New Roman" w:hAnsi="Times New Roman"/>
                <w:lang w:eastAsia="ja-JP"/>
              </w:rPr>
              <w:t xml:space="preserve"> </w:t>
            </w:r>
            <w:r>
              <w:rPr>
                <w:rFonts w:ascii="Times New Roman" w:hAnsi="Times New Roman"/>
              </w:rPr>
              <w:t>Note: Information regarding the AI/ML functionality may be shared during functionality identification. Where AI/ML functionality resides depends on the specific use cases and sub use cases.</w:t>
            </w:r>
          </w:p>
        </w:tc>
      </w:tr>
    </w:tbl>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Functional</w:t>
      </w:r>
      <w:r>
        <w:rPr>
          <w:rFonts w:hint="eastAsia" w:ascii="Times New Roman" w:hAnsi="Times New Roman"/>
          <w:lang w:val="en-US" w:eastAsia="zh-CN"/>
        </w:rPr>
        <w:t>ity</w:t>
      </w:r>
      <w:r>
        <w:rPr>
          <w:rFonts w:ascii="Times New Roman" w:hAnsi="Times New Roman"/>
          <w:lang w:val="en-US" w:eastAsia="zh-CN"/>
        </w:rPr>
        <w:t xml:space="preserve"> based LCM means each functionality has its own LCM procedure, while model based LCM has a finer granularity and it means each model can be associated with specific additional conditions, each model can have its own LCM procedure. Different functionalities can be recognized as different AI usecases (e.g., positioning or beam management), or different AI sub-usecases (e.g., 5 usecases in AL/ML positioning), or different groups of AI sub-usecases (e.g., UE-side model, gNB-side model and LMF-side model are recognized as 3 functionalities), or different AI sub-usecases plus some conditions (e.g., usecase 1 when UE is in some certain conditions is recognized as a functionality). </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In AI/ML positioning there are 5 sub-usecases where all of them are one-side model, the 5 usecases can be sub-grouped into 3 types:</w:t>
      </w:r>
    </w:p>
    <w:p>
      <w:pPr>
        <w:pStyle w:val="69"/>
        <w:numPr>
          <w:ilvl w:val="0"/>
          <w:numId w:val="8"/>
        </w:numPr>
        <w:adjustRightInd w:val="0"/>
        <w:snapToGrid w:val="0"/>
        <w:spacing w:before="156" w:beforeLines="50" w:after="156" w:afterLines="50" w:line="240" w:lineRule="auto"/>
        <w:ind w:firstLineChars="0"/>
        <w:rPr>
          <w:rFonts w:ascii="Times New Roman" w:hAnsi="Times New Roman"/>
          <w:lang w:val="en-US" w:eastAsia="zh-CN"/>
        </w:rPr>
      </w:pPr>
      <w:r>
        <w:rPr>
          <w:rFonts w:hint="eastAsia" w:ascii="Times New Roman" w:hAnsi="Times New Roman"/>
          <w:lang w:val="en-US" w:eastAsia="zh-CN"/>
        </w:rPr>
        <w:t>UE</w:t>
      </w:r>
      <w:r>
        <w:rPr>
          <w:rFonts w:ascii="Times New Roman" w:hAnsi="Times New Roman"/>
          <w:lang w:val="en-US" w:eastAsia="zh-CN"/>
        </w:rPr>
        <w:t>-</w:t>
      </w:r>
      <w:r>
        <w:rPr>
          <w:rFonts w:hint="eastAsia" w:ascii="Times New Roman" w:hAnsi="Times New Roman"/>
          <w:lang w:val="en-US" w:eastAsia="zh-CN"/>
        </w:rPr>
        <w:t>side model:</w:t>
      </w:r>
      <w:r>
        <w:rPr>
          <w:rFonts w:ascii="Times New Roman" w:hAnsi="Times New Roman"/>
          <w:lang w:val="en-US" w:eastAsia="zh-CN"/>
        </w:rPr>
        <w:t xml:space="preserve"> usecase 1(1</w:t>
      </w:r>
      <w:r>
        <w:rPr>
          <w:rFonts w:ascii="Times New Roman" w:hAnsi="Times New Roman"/>
          <w:vertAlign w:val="superscript"/>
          <w:lang w:val="en-US" w:eastAsia="zh-CN"/>
        </w:rPr>
        <w:t>st</w:t>
      </w:r>
      <w:r>
        <w:rPr>
          <w:rFonts w:ascii="Times New Roman" w:hAnsi="Times New Roman"/>
          <w:lang w:val="en-US" w:eastAsia="zh-CN"/>
        </w:rPr>
        <w:t xml:space="preserve"> priority), usecase 2a (2</w:t>
      </w:r>
      <w:r>
        <w:rPr>
          <w:rFonts w:ascii="Times New Roman" w:hAnsi="Times New Roman"/>
          <w:vertAlign w:val="superscript"/>
          <w:lang w:val="en-US" w:eastAsia="zh-CN"/>
        </w:rPr>
        <w:t>nd</w:t>
      </w:r>
      <w:r>
        <w:rPr>
          <w:rFonts w:ascii="Times New Roman" w:hAnsi="Times New Roman"/>
          <w:lang w:val="en-US" w:eastAsia="zh-CN"/>
        </w:rPr>
        <w:t xml:space="preserve"> priority)</w:t>
      </w:r>
    </w:p>
    <w:p>
      <w:pPr>
        <w:pStyle w:val="69"/>
        <w:numPr>
          <w:ilvl w:val="0"/>
          <w:numId w:val="8"/>
        </w:numPr>
        <w:adjustRightInd w:val="0"/>
        <w:snapToGrid w:val="0"/>
        <w:spacing w:before="156" w:beforeLines="50" w:after="156" w:afterLines="50" w:line="240" w:lineRule="auto"/>
        <w:ind w:firstLineChars="0"/>
        <w:rPr>
          <w:rFonts w:ascii="Times New Roman" w:hAnsi="Times New Roman"/>
          <w:lang w:val="en-US" w:eastAsia="zh-CN"/>
        </w:rPr>
      </w:pPr>
      <w:r>
        <w:rPr>
          <w:rFonts w:ascii="Times New Roman" w:hAnsi="Times New Roman"/>
          <w:lang w:val="en-US" w:eastAsia="zh-CN"/>
        </w:rPr>
        <w:t>gNB-side model: usecase 3a (1</w:t>
      </w:r>
      <w:r>
        <w:rPr>
          <w:rFonts w:ascii="Times New Roman" w:hAnsi="Times New Roman"/>
          <w:vertAlign w:val="superscript"/>
          <w:lang w:val="en-US" w:eastAsia="zh-CN"/>
        </w:rPr>
        <w:t>st</w:t>
      </w:r>
      <w:r>
        <w:rPr>
          <w:rFonts w:ascii="Times New Roman" w:hAnsi="Times New Roman"/>
          <w:lang w:val="en-US" w:eastAsia="zh-CN"/>
        </w:rPr>
        <w:t xml:space="preserve"> priority)</w:t>
      </w:r>
    </w:p>
    <w:p>
      <w:pPr>
        <w:pStyle w:val="69"/>
        <w:numPr>
          <w:ilvl w:val="0"/>
          <w:numId w:val="8"/>
        </w:numPr>
        <w:adjustRightInd w:val="0"/>
        <w:snapToGrid w:val="0"/>
        <w:spacing w:before="156" w:beforeLines="50" w:after="156" w:afterLines="50" w:line="240" w:lineRule="auto"/>
        <w:ind w:firstLineChars="0"/>
        <w:rPr>
          <w:rFonts w:ascii="Times New Roman" w:hAnsi="Times New Roman"/>
          <w:lang w:val="en-US" w:eastAsia="zh-CN"/>
        </w:rPr>
      </w:pPr>
      <w:r>
        <w:rPr>
          <w:rFonts w:ascii="Times New Roman" w:hAnsi="Times New Roman"/>
          <w:lang w:val="en-US" w:eastAsia="zh-CN"/>
        </w:rPr>
        <w:t>LMF-side model: usecase 3b (1</w:t>
      </w:r>
      <w:r>
        <w:rPr>
          <w:rFonts w:ascii="Times New Roman" w:hAnsi="Times New Roman"/>
          <w:vertAlign w:val="superscript"/>
          <w:lang w:val="en-US" w:eastAsia="zh-CN"/>
        </w:rPr>
        <w:t>st</w:t>
      </w:r>
      <w:r>
        <w:rPr>
          <w:rFonts w:ascii="Times New Roman" w:hAnsi="Times New Roman"/>
          <w:lang w:val="en-US" w:eastAsia="zh-CN"/>
        </w:rPr>
        <w:t xml:space="preserve"> priority), usecase 2b (2</w:t>
      </w:r>
      <w:r>
        <w:rPr>
          <w:rFonts w:ascii="Times New Roman" w:hAnsi="Times New Roman"/>
          <w:vertAlign w:val="superscript"/>
          <w:lang w:val="en-US" w:eastAsia="zh-CN"/>
        </w:rPr>
        <w:t>nd</w:t>
      </w:r>
      <w:r>
        <w:rPr>
          <w:rFonts w:ascii="Times New Roman" w:hAnsi="Times New Roman"/>
          <w:lang w:val="en-US" w:eastAsia="zh-CN"/>
        </w:rPr>
        <w:t xml:space="preserve"> priority)</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Each type has different entities that owns the model in which the input/output is significantly different, so the LCM procedure should be different at least for UE-side model, gNB-side model and LMF-side model. Different usecase requires different input/output, so it will be clearer when triggering a functionality to be different usecases. Regarding NW-side model, the UE conditions may have some impact on LCM procedure, but the training data set would be small if the training data is associated with UE-side conditions. Moreover, if multiple models with different generalization capabilities and requirements for UE-side conditions are trained by a same or different gNBs, it would lead to huge standardization efforts and involve unavoidable proprietary information disclosure issues for specifying and aligning UE-side conditions. </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Based on the above analysis, the most suitable granularity of functionality for AI/ML positioning is to recognize the functionality per usecase, or per UE-side model, gNB-side model and LMF-side model.</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 xml:space="preserve">Observation 1: Different functionalities can be recognized as different AI usecases, or different AI sub-usecases, or different groups of AI sub-usecases, or different AI sub-usecases plus some conditions. </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1: For AI/ML positioning, the functionality can be recognized in following ways:</w:t>
      </w:r>
    </w:p>
    <w:p>
      <w:pPr>
        <w:pStyle w:val="69"/>
        <w:numPr>
          <w:ilvl w:val="0"/>
          <w:numId w:val="9"/>
        </w:numPr>
        <w:adjustRightInd w:val="0"/>
        <w:snapToGrid w:val="0"/>
        <w:spacing w:before="156" w:beforeLines="50" w:after="156" w:afterLines="50" w:line="240" w:lineRule="auto"/>
        <w:ind w:firstLineChars="0"/>
        <w:rPr>
          <w:rFonts w:ascii="Times New Roman" w:hAnsi="Times New Roman"/>
          <w:b/>
          <w:bCs/>
          <w:i/>
          <w:iCs/>
          <w:lang w:val="en-US" w:eastAsia="zh-CN"/>
        </w:rPr>
      </w:pPr>
      <w:r>
        <w:rPr>
          <w:rFonts w:ascii="Times New Roman" w:hAnsi="Times New Roman"/>
          <w:b/>
          <w:bCs/>
          <w:i/>
          <w:iCs/>
          <w:lang w:val="en-US" w:eastAsia="zh-CN"/>
        </w:rPr>
        <w:t>Per usecase, i.e., LCM procedure should be defined per usecase.</w:t>
      </w:r>
    </w:p>
    <w:p>
      <w:pPr>
        <w:pStyle w:val="69"/>
        <w:numPr>
          <w:ilvl w:val="0"/>
          <w:numId w:val="9"/>
        </w:numPr>
        <w:adjustRightInd w:val="0"/>
        <w:snapToGrid w:val="0"/>
        <w:spacing w:before="156" w:beforeLines="50" w:after="156" w:afterLines="50" w:line="240" w:lineRule="auto"/>
        <w:ind w:firstLineChars="0"/>
        <w:rPr>
          <w:rFonts w:ascii="Times New Roman" w:hAnsi="Times New Roman"/>
          <w:b/>
          <w:bCs/>
          <w:i/>
          <w:iCs/>
          <w:lang w:val="en-US" w:eastAsia="zh-CN"/>
        </w:rPr>
      </w:pPr>
      <w:r>
        <w:rPr>
          <w:rFonts w:ascii="Times New Roman" w:hAnsi="Times New Roman"/>
          <w:b/>
          <w:bCs/>
          <w:i/>
          <w:iCs/>
          <w:lang w:val="en-US" w:eastAsia="zh-CN"/>
        </w:rPr>
        <w:t>per UE-side model, gNB-side model and LMF-side model, i.e., LCM procedure should be defined per inference entity.</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The following sections give the LCM procedure (i.e., model training, model inference, performance monitoring) of each AI/ML positioning usecase.</w:t>
      </w:r>
    </w:p>
    <w:p>
      <w:pPr>
        <w:pStyle w:val="4"/>
        <w:rPr>
          <w:lang w:val="en-US" w:eastAsia="zh-CN"/>
        </w:rPr>
      </w:pPr>
      <w:r>
        <w:rPr>
          <w:rFonts w:hint="eastAsia"/>
          <w:lang w:val="en-US" w:eastAsia="zh-CN"/>
        </w:rPr>
        <w:t>gNB-side model (usecase 3a, 1</w:t>
      </w:r>
      <w:r>
        <w:rPr>
          <w:rFonts w:hint="eastAsia"/>
          <w:vertAlign w:val="superscript"/>
          <w:lang w:val="en-US" w:eastAsia="zh-CN"/>
        </w:rPr>
        <w:t>st</w:t>
      </w:r>
      <w:r>
        <w:rPr>
          <w:rFonts w:hint="eastAsia"/>
          <w:lang w:val="en-US" w:eastAsia="zh-CN"/>
        </w:rPr>
        <w:t xml:space="preserve"> priority)</w:t>
      </w:r>
    </w:p>
    <w:p>
      <w:pPr>
        <w:pStyle w:val="5"/>
        <w:rPr>
          <w:lang w:val="en-US" w:eastAsia="zh-CN"/>
        </w:rPr>
      </w:pPr>
      <w:r>
        <w:rPr>
          <w:rFonts w:hint="eastAsia"/>
          <w:lang w:val="en-US" w:eastAsia="zh-CN"/>
        </w:rPr>
        <w:t xml:space="preserve">LCM control </w:t>
      </w:r>
    </w:p>
    <w:p>
      <w:pPr>
        <w:tabs>
          <w:tab w:val="left" w:pos="432"/>
        </w:tabs>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In </w:t>
      </w:r>
      <w:r>
        <w:rPr>
          <w:rFonts w:hint="eastAsia" w:ascii="Times New Roman" w:hAnsi="Times New Roman"/>
          <w:lang w:val="en-US" w:eastAsia="zh-CN"/>
        </w:rPr>
        <w:t>legacy UL or UL+DL positioning, serving gNB of the target UE is scheduled by LMF to configure SRS to UE, and serving/neighbor gNBs of the target UE are scheduled by LMF to receive and measure the SRS. For usecase 3a, we think the baseline should be the same, i.e., LMF should also take control of the LCM procedure. To be specific, LMF can schedule serving/neighbor gNBs of the target UE to perform AI positioning and output AI intermediate features via existing NRPPa protocol. Furthermore, the purpose of gNB to perform AI positioning can be for model training or performance monitoring.</w:t>
      </w:r>
    </w:p>
    <w:p>
      <w:pPr>
        <w:tabs>
          <w:tab w:val="left" w:pos="432"/>
        </w:tabs>
        <w:adjustRightInd w:val="0"/>
        <w:snapToGrid w:val="0"/>
        <w:spacing w:before="156" w:beforeLines="50" w:after="156" w:afterLines="50" w:line="240" w:lineRule="auto"/>
        <w:rPr>
          <w:rFonts w:ascii="Times New Roman" w:hAnsi="Times New Roman"/>
          <w:i/>
          <w:iCs/>
          <w:lang w:val="en-US" w:eastAsia="zh-CN"/>
        </w:rPr>
      </w:pPr>
      <w:r>
        <w:rPr>
          <w:rFonts w:ascii="Times New Roman" w:hAnsi="Times New Roman"/>
          <w:b/>
          <w:bCs/>
          <w:i/>
          <w:iCs/>
          <w:lang w:val="en-US" w:eastAsia="zh-CN"/>
        </w:rPr>
        <w:t>Proposal 2: For usecase 3a, LMF can schedule serving/neighbor gNBs of the target UE to perform AI positioning and output AI intermediate features via existing NRPPa protocol.</w:t>
      </w:r>
    </w:p>
    <w:p>
      <w:pPr>
        <w:pStyle w:val="5"/>
        <w:rPr>
          <w:lang w:val="en-US" w:eastAsia="zh-CN"/>
        </w:rPr>
      </w:pPr>
      <w:r>
        <w:rPr>
          <w:rFonts w:hint="eastAsia"/>
          <w:lang w:val="en-US" w:eastAsia="zh-CN"/>
        </w:rPr>
        <w:t xml:space="preserve">Model inference </w:t>
      </w:r>
    </w:p>
    <w:p>
      <w:pPr>
        <w:adjustRightInd w:val="0"/>
        <w:snapToGrid w:val="0"/>
        <w:spacing w:before="156" w:beforeLines="50" w:after="156" w:afterLines="50" w:line="240" w:lineRule="auto"/>
        <w:rPr>
          <w:lang w:val="en-US" w:eastAsia="zh-CN"/>
        </w:rPr>
      </w:pPr>
      <w:r>
        <w:rPr>
          <w:rFonts w:ascii="Times New Roman" w:hAnsi="Times New Roman"/>
          <w:lang w:val="en-US" w:eastAsia="zh-CN"/>
        </w:rPr>
        <w:t>For usecase 3a, the AI inference phase is at gNB side AI model, the input of the AI model is AI measurement of SRS (e.g., CIR/PDP/DP), the output of the AI model is AI intermediate features (e.g., UL RTOA, gNB Rx-Tx time difference, LOS/NLOS indicator, etc.). LMF is responsible for calculating UE location using multiple gNB’s reported AI intermediate features.</w:t>
      </w:r>
    </w:p>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drawing>
          <wp:inline distT="0" distB="0" distL="114300" distR="114300">
            <wp:extent cx="4457065" cy="972185"/>
            <wp:effectExtent l="0" t="0" r="0" b="18415"/>
            <wp:docPr id="1" name="图片 1" descr="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a"/>
                    <pic:cNvPicPr>
                      <a:picLocks noChangeAspect="1"/>
                    </pic:cNvPicPr>
                  </pic:nvPicPr>
                  <pic:blipFill>
                    <a:blip r:embed="rId9"/>
                    <a:stretch>
                      <a:fillRect/>
                    </a:stretch>
                  </pic:blipFill>
                  <pic:spPr>
                    <a:xfrm>
                      <a:off x="0" y="0"/>
                      <a:ext cx="4457065" cy="972185"/>
                    </a:xfrm>
                    <a:prstGeom prst="rect">
                      <a:avLst/>
                    </a:prstGeom>
                  </pic:spPr>
                </pic:pic>
              </a:graphicData>
            </a:graphic>
          </wp:inline>
        </w:drawing>
      </w:r>
    </w:p>
    <w:p>
      <w:pPr>
        <w:adjustRightInd w:val="0"/>
        <w:snapToGrid w:val="0"/>
        <w:spacing w:before="156" w:beforeLines="50" w:after="156" w:afterLines="50" w:line="240" w:lineRule="auto"/>
        <w:jc w:val="center"/>
        <w:rPr>
          <w:rFonts w:ascii="Times New Roman" w:hAnsi="Times New Roman"/>
          <w:lang w:val="en-US" w:eastAsia="zh-CN"/>
        </w:rPr>
      </w:pPr>
      <w:r>
        <w:rPr>
          <w:rFonts w:hint="eastAsia" w:ascii="Times New Roman" w:hAnsi="Times New Roman"/>
          <w:lang w:val="en-US" w:eastAsia="zh-CN"/>
        </w:rPr>
        <w:t>Figure 1. Usecase 3a, model inference is at gNB side</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 xml:space="preserve">Observation 2: In AI/ML positioning, for gNB-side model (usecase 3a), the AI inference is </w:t>
      </w:r>
      <w:r>
        <w:rPr>
          <w:rFonts w:hint="eastAsia" w:ascii="Times New Roman" w:hAnsi="Times New Roman"/>
          <w:b/>
          <w:bCs/>
          <w:i/>
          <w:iCs/>
          <w:lang w:val="en-US" w:eastAsia="zh-CN"/>
        </w:rPr>
        <w:t xml:space="preserve">performed </w:t>
      </w:r>
      <w:r>
        <w:rPr>
          <w:rFonts w:ascii="Times New Roman" w:hAnsi="Times New Roman"/>
          <w:b/>
          <w:bCs/>
          <w:i/>
          <w:iCs/>
          <w:lang w:val="en-US" w:eastAsia="zh-CN"/>
        </w:rPr>
        <w:t>at gNB side.</w:t>
      </w:r>
    </w:p>
    <w:p>
      <w:pPr>
        <w:pStyle w:val="5"/>
        <w:rPr>
          <w:lang w:val="en-US" w:eastAsia="zh-CN"/>
        </w:rPr>
      </w:pPr>
      <w:r>
        <w:rPr>
          <w:rFonts w:hint="eastAsia"/>
          <w:lang w:val="en-US" w:eastAsia="zh-CN"/>
        </w:rPr>
        <w:t xml:space="preserve">Model training </w:t>
      </w:r>
    </w:p>
    <w:p>
      <w:pPr>
        <w:adjustRightInd w:val="0"/>
        <w:snapToGrid w:val="0"/>
        <w:spacing w:before="156" w:beforeLines="50" w:after="156" w:afterLines="50" w:line="240" w:lineRule="auto"/>
        <w:rPr>
          <w:rFonts w:ascii="Times New Roman" w:hAnsi="Times New Roman"/>
          <w:b/>
          <w:i/>
          <w:lang w:val="en-US" w:eastAsia="zh-CN"/>
        </w:rPr>
      </w:pPr>
      <w:r>
        <w:rPr>
          <w:rFonts w:ascii="Times New Roman" w:hAnsi="Times New Roman"/>
          <w:lang w:val="en-US" w:eastAsia="zh-CN"/>
        </w:rPr>
        <w:t>Model training is a</w:t>
      </w:r>
      <w:r>
        <w:rPr>
          <w:rFonts w:ascii="Times New Roman" w:hAnsi="Times New Roman"/>
        </w:rPr>
        <w:t xml:space="preserve"> process to train an </w:t>
      </w:r>
      <w:r>
        <w:rPr>
          <w:rFonts w:ascii="Times New Roman" w:hAnsi="Times New Roman"/>
          <w:lang w:eastAsia="zh-CN"/>
        </w:rPr>
        <w:t>AI/</w:t>
      </w:r>
      <w:r>
        <w:rPr>
          <w:rFonts w:ascii="Times New Roman" w:hAnsi="Times New Roman"/>
        </w:rPr>
        <w:t xml:space="preserve">ML model by learning the input/output relationship in a data driven manner </w:t>
      </w:r>
      <w:r>
        <w:rPr>
          <w:rFonts w:ascii="Times New Roman" w:hAnsi="Times New Roman"/>
          <w:lang w:eastAsia="zh-CN"/>
        </w:rPr>
        <w:t>and obtain the trained AI/ML Model for inference</w:t>
      </w:r>
      <w:r>
        <w:rPr>
          <w:rFonts w:ascii="Times New Roman" w:hAnsi="Times New Roman"/>
          <w:lang w:val="en-US" w:eastAsia="zh-CN"/>
        </w:rPr>
        <w:t>. In general, gNB, OAM or LMF can perform AI model training for usecase 3a.</w:t>
      </w:r>
    </w:p>
    <w:p>
      <w:pPr>
        <w:adjustRightInd w:val="0"/>
        <w:snapToGrid w:val="0"/>
        <w:spacing w:before="156" w:beforeLines="50" w:after="156" w:afterLines="50" w:line="240" w:lineRule="auto"/>
        <w:rPr>
          <w:rFonts w:ascii="Times New Roman" w:hAnsi="Times New Roman"/>
          <w:b/>
          <w:bCs/>
          <w:u w:val="single"/>
          <w:lang w:val="en-US" w:eastAsia="zh-CN"/>
        </w:rPr>
      </w:pPr>
      <w:r>
        <w:rPr>
          <w:rFonts w:ascii="Times New Roman" w:hAnsi="Times New Roman"/>
          <w:b/>
          <w:bCs/>
          <w:u w:val="single"/>
          <w:lang w:val="en-US" w:eastAsia="zh-CN"/>
        </w:rPr>
        <w:t>Model training is at gNB side</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If model training is at gNB side, gNB can get SRS AI measurement as the model input (training data) to train a model, where the SRS is sent by the PRUs. The data label can be accurate intermediate feature of the PRU/TRP pair. If the gNB knows the PRU location in advance, gNB can calculate the accurate intermediate feature of the PRU/TRP pair; or the accurate intermediate feature of the PRU can be provided from LMF to the gNB that performs AI model training. </w:t>
      </w:r>
    </w:p>
    <w:p>
      <w:pPr>
        <w:numPr>
          <w:ilvl w:val="0"/>
          <w:numId w:val="10"/>
        </w:num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Advantage: this is the most straightforward way, i.e., no model transfer procedure between training and inference, so the latency and overhead can be reduced. </w:t>
      </w:r>
    </w:p>
    <w:p>
      <w:pPr>
        <w:numPr>
          <w:ilvl w:val="0"/>
          <w:numId w:val="10"/>
        </w:num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Disadvantage: the amount of training data set maybe small since one gNB can only get the SRS AI measurement of its serving TRPs.</w:t>
      </w:r>
    </w:p>
    <w:p>
      <w:pPr>
        <w:adjustRightInd w:val="0"/>
        <w:snapToGrid w:val="0"/>
        <w:spacing w:before="156" w:beforeLines="50" w:after="156" w:afterLines="50" w:line="240" w:lineRule="auto"/>
        <w:rPr>
          <w:rFonts w:ascii="Times New Roman" w:hAnsi="Times New Roman"/>
          <w:b/>
          <w:bCs/>
          <w:u w:val="single"/>
          <w:lang w:val="en-US" w:eastAsia="zh-CN"/>
        </w:rPr>
      </w:pPr>
      <w:r>
        <w:rPr>
          <w:rFonts w:ascii="Times New Roman" w:hAnsi="Times New Roman"/>
          <w:b/>
          <w:bCs/>
          <w:u w:val="single"/>
          <w:lang w:val="en-US" w:eastAsia="zh-CN"/>
        </w:rPr>
        <w:t>Model training is at OAM side</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If model training is at OAM side, OAM can gather multiple gNB/TRP’s SRS measurement (e.g., CIR/PDP/DP) of the PRU as the model input, and OAM can get the accurate PRU intermediate features from LMF as the data label. OAM can perform offline training and deliver AI model to gNB for the coming inference phase.</w:t>
      </w:r>
    </w:p>
    <w:p>
      <w:pPr>
        <w:numPr>
          <w:ilvl w:val="0"/>
          <w:numId w:val="11"/>
        </w:numPr>
        <w:tabs>
          <w:tab w:val="clear" w:pos="0"/>
        </w:tabs>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Advantage: Since the interface between OAM and LMF (or between OAM and gNB) may not be specified and the signaling interaction/model transfer can be based on network’s implementation, this procedure will have less spec impact. </w:t>
      </w:r>
    </w:p>
    <w:p>
      <w:pPr>
        <w:numPr>
          <w:ilvl w:val="0"/>
          <w:numId w:val="11"/>
        </w:numPr>
        <w:tabs>
          <w:tab w:val="clear" w:pos="0"/>
        </w:tabs>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Disadvantage: Not clear how should the OAM manage multiple gNBs/TRPs; not clear whether OAM can directly link to LMF without gNB to forward; and it is hard for network to control the training performance.</w:t>
      </w:r>
    </w:p>
    <w:p>
      <w:pPr>
        <w:adjustRightInd w:val="0"/>
        <w:snapToGrid w:val="0"/>
        <w:spacing w:before="156" w:beforeLines="50" w:after="156" w:afterLines="50" w:line="240" w:lineRule="auto"/>
        <w:rPr>
          <w:rFonts w:ascii="Times New Roman" w:hAnsi="Times New Roman"/>
          <w:b/>
          <w:bCs/>
          <w:u w:val="single"/>
          <w:lang w:val="en-US" w:eastAsia="zh-CN"/>
        </w:rPr>
      </w:pPr>
      <w:r>
        <w:rPr>
          <w:rFonts w:ascii="Times New Roman" w:hAnsi="Times New Roman"/>
          <w:b/>
          <w:bCs/>
          <w:u w:val="single"/>
          <w:lang w:val="en-US" w:eastAsia="zh-CN"/>
        </w:rPr>
        <w:t>Model training is at LMF/NWDAF side</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If model training is at LMF/NWDAF side, LMF/NWDAF can gather multiple gNB/TRP’s SRS AI measurement (e.g., CIR/PDP/DP) of the PRU as model input, LMF can further transmit the model input to NWDAF. Since LMF/NWDAF knows the PRU location, LMF/NWDAF can calculate the accurate PRU intermediate features of each PRU/TRP pair as label. After LMF/NWDAF trains an AI model, the LMF/NWDAF can deliver the model to gNB for inference phase.</w:t>
      </w:r>
    </w:p>
    <w:p>
      <w:pPr>
        <w:numPr>
          <w:ilvl w:val="0"/>
          <w:numId w:val="11"/>
        </w:numPr>
        <w:tabs>
          <w:tab w:val="clear" w:pos="0"/>
        </w:tabs>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Advantage: LMF can gather multiple TRP’s SRS AI measurements using legacy NRPPa report, the large amount of training data set can be ensured without additional spec effort. </w:t>
      </w:r>
    </w:p>
    <w:p>
      <w:pPr>
        <w:numPr>
          <w:ilvl w:val="0"/>
          <w:numId w:val="11"/>
        </w:numPr>
        <w:tabs>
          <w:tab w:val="clear" w:pos="0"/>
        </w:tabs>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Disadvantage: different gNBs may need different AI models due to different gNB deployment. It is a challenge for LMF to train multiple models for multiple gNBs, especially when different gNBs have different additional conditions.</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Based on above, different branches have corresponding advantages and disadvantages. In addition, performing model training in different entities will lead to different data collection procedures. Therefore, for usecase 3a, RAN2 should firstly discuss which entity the model training should be performed. Since usecase 3a is gNB side model, we prefer to directly let gNB or OAM perform the model training. For LMF/NWDAF training for gNB-side model, RAN2 should ask SA2 the feasibility.</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3: In AI/ML positioning for gNB-side model (usecase 3a), OAM or gNB should perform model training.</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4: Send LS to SA2 to ask whether LMF can perform the model training for gNB-side model.</w:t>
      </w:r>
    </w:p>
    <w:p>
      <w:pPr>
        <w:pStyle w:val="5"/>
        <w:rPr>
          <w:lang w:val="en-US" w:eastAsia="zh-CN"/>
        </w:rPr>
      </w:pPr>
      <w:r>
        <w:rPr>
          <w:rFonts w:hint="eastAsia"/>
          <w:lang w:val="en-US" w:eastAsia="zh-CN"/>
        </w:rPr>
        <w:t>Performance monitoring</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In usecase 3a when the AI model is at gNB side, the performance monitoring can be performed at gNB side or at LMF side.</w:t>
      </w:r>
    </w:p>
    <w:p>
      <w:pPr>
        <w:adjustRightInd w:val="0"/>
        <w:snapToGrid w:val="0"/>
        <w:spacing w:before="156" w:beforeLines="50" w:after="156" w:afterLines="50" w:line="240" w:lineRule="auto"/>
        <w:rPr>
          <w:rFonts w:ascii="Times New Roman" w:hAnsi="Times New Roman"/>
          <w:b/>
          <w:bCs/>
          <w:u w:val="single"/>
          <w:lang w:val="en-US" w:eastAsia="zh-CN"/>
        </w:rPr>
      </w:pPr>
      <w:r>
        <w:rPr>
          <w:rFonts w:ascii="Times New Roman" w:hAnsi="Times New Roman"/>
          <w:b/>
          <w:bCs/>
          <w:u w:val="single"/>
          <w:lang w:val="en-US" w:eastAsia="zh-CN"/>
        </w:rPr>
        <w:t>Performance monitoring is at LMF side</w:t>
      </w:r>
    </w:p>
    <w:p>
      <w:pPr>
        <w:adjustRightInd w:val="0"/>
        <w:snapToGrid w:val="0"/>
        <w:spacing w:before="156" w:beforeLines="50" w:after="156" w:afterLines="50" w:line="240" w:lineRule="auto"/>
        <w:rPr>
          <w:rFonts w:ascii="Times New Roman" w:hAnsi="Times New Roman"/>
        </w:rPr>
      </w:pPr>
      <w:r>
        <w:rPr>
          <w:rFonts w:ascii="Times New Roman" w:hAnsi="Times New Roman"/>
          <w:lang w:val="en-US" w:eastAsia="zh-CN"/>
        </w:rPr>
        <w:t>In this case, one LMF should monitor all the gNB’s AI models</w:t>
      </w:r>
      <w:r>
        <w:rPr>
          <w:rFonts w:ascii="Times New Roman" w:hAnsi="Times New Roman"/>
        </w:rPr>
        <w:t>.</w:t>
      </w:r>
      <w:r>
        <w:rPr>
          <w:rFonts w:ascii="Times New Roman" w:hAnsi="Times New Roman"/>
          <w:lang w:val="en-US" w:eastAsia="zh-CN"/>
        </w:rPr>
        <w:t xml:space="preserve"> LMF</w:t>
      </w:r>
      <w:r>
        <w:rPr>
          <w:rFonts w:ascii="Times New Roman" w:hAnsi="Times New Roman"/>
        </w:rPr>
        <w:t xml:space="preserve"> </w:t>
      </w:r>
      <w:r>
        <w:rPr>
          <w:rFonts w:ascii="Times New Roman" w:hAnsi="Times New Roman"/>
          <w:lang w:val="en-US" w:eastAsia="zh-CN"/>
        </w:rPr>
        <w:t xml:space="preserve">can </w:t>
      </w:r>
      <w:r>
        <w:rPr>
          <w:rFonts w:ascii="Times New Roman" w:hAnsi="Times New Roman"/>
        </w:rPr>
        <w:t xml:space="preserve">schedule UL positioning or UL+DL positioning of a </w:t>
      </w:r>
      <w:r>
        <w:rPr>
          <w:rFonts w:ascii="Times New Roman" w:hAnsi="Times New Roman"/>
          <w:lang w:val="en-US" w:eastAsia="zh-CN"/>
        </w:rPr>
        <w:t>UE/</w:t>
      </w:r>
      <w:r>
        <w:rPr>
          <w:rFonts w:ascii="Times New Roman" w:hAnsi="Times New Roman"/>
        </w:rPr>
        <w:t xml:space="preserve">PRU, and </w:t>
      </w:r>
      <w:r>
        <w:rPr>
          <w:rFonts w:ascii="Times New Roman" w:hAnsi="Times New Roman"/>
          <w:lang w:val="en-US" w:eastAsia="zh-CN"/>
        </w:rPr>
        <w:t>UE/</w:t>
      </w:r>
      <w:r>
        <w:rPr>
          <w:rFonts w:ascii="Times New Roman" w:hAnsi="Times New Roman"/>
        </w:rPr>
        <w:t xml:space="preserve">PRU sends SRS. gNBs receive the SRS and make </w:t>
      </w:r>
      <w:r>
        <w:rPr>
          <w:rFonts w:ascii="Times New Roman" w:hAnsi="Times New Roman"/>
          <w:lang w:val="en-US" w:eastAsia="zh-CN"/>
        </w:rPr>
        <w:t xml:space="preserve">AI </w:t>
      </w:r>
      <w:r>
        <w:rPr>
          <w:rFonts w:ascii="Times New Roman" w:hAnsi="Times New Roman"/>
        </w:rPr>
        <w:t xml:space="preserve">intermediate feature </w:t>
      </w:r>
      <w:r>
        <w:rPr>
          <w:rFonts w:ascii="Times New Roman" w:hAnsi="Times New Roman"/>
          <w:lang w:val="en-US" w:eastAsia="zh-CN"/>
        </w:rPr>
        <w:t xml:space="preserve">measurement </w:t>
      </w:r>
      <w:r>
        <w:rPr>
          <w:rFonts w:ascii="Times New Roman" w:hAnsi="Times New Roman"/>
        </w:rPr>
        <w:t xml:space="preserve">using AI model, and gNB reports the </w:t>
      </w:r>
      <w:r>
        <w:rPr>
          <w:rFonts w:ascii="Times New Roman" w:hAnsi="Times New Roman"/>
          <w:lang w:val="en-US" w:eastAsia="zh-CN"/>
        </w:rPr>
        <w:t xml:space="preserve">AI </w:t>
      </w:r>
      <w:r>
        <w:rPr>
          <w:rFonts w:ascii="Times New Roman" w:hAnsi="Times New Roman"/>
        </w:rPr>
        <w:t xml:space="preserve">intermediate feature to </w:t>
      </w:r>
      <w:r>
        <w:rPr>
          <w:rFonts w:ascii="Times New Roman" w:hAnsi="Times New Roman"/>
          <w:lang w:val="en-US" w:eastAsia="zh-CN"/>
        </w:rPr>
        <w:t>LMF</w:t>
      </w:r>
      <w:r>
        <w:rPr>
          <w:rFonts w:ascii="Times New Roman" w:hAnsi="Times New Roman"/>
        </w:rPr>
        <w:t xml:space="preserve">. Then LMF can further transmit the </w:t>
      </w:r>
      <w:r>
        <w:rPr>
          <w:rFonts w:ascii="Times New Roman" w:hAnsi="Times New Roman"/>
          <w:lang w:val="en-US" w:eastAsia="zh-CN"/>
        </w:rPr>
        <w:t xml:space="preserve">AI </w:t>
      </w:r>
      <w:r>
        <w:rPr>
          <w:rFonts w:ascii="Times New Roman" w:hAnsi="Times New Roman"/>
        </w:rPr>
        <w:t>intermediate feature</w:t>
      </w:r>
      <w:r>
        <w:rPr>
          <w:rFonts w:ascii="Times New Roman" w:hAnsi="Times New Roman"/>
          <w:lang w:val="en-US" w:eastAsia="zh-CN"/>
        </w:rPr>
        <w:t>s to NWDAF. When comparing the performance, LMF can compare the UE locations, or compare the intermediate features:</w:t>
      </w:r>
    </w:p>
    <w:p>
      <w:pPr>
        <w:numPr>
          <w:ilvl w:val="0"/>
          <w:numId w:val="12"/>
        </w:numPr>
        <w:adjustRightInd w:val="0"/>
        <w:snapToGrid w:val="0"/>
        <w:spacing w:before="156" w:beforeLines="50" w:after="156" w:afterLines="50" w:line="240" w:lineRule="auto"/>
        <w:rPr>
          <w:rFonts w:ascii="Times New Roman" w:hAnsi="Times New Roman"/>
        </w:rPr>
      </w:pPr>
      <w:r>
        <w:rPr>
          <w:rFonts w:ascii="Times New Roman" w:hAnsi="Times New Roman"/>
          <w:u w:val="single"/>
          <w:lang w:val="en-US" w:eastAsia="zh-CN"/>
        </w:rPr>
        <w:t>Compare the PRU locations</w:t>
      </w:r>
      <w:r>
        <w:rPr>
          <w:rFonts w:ascii="Times New Roman" w:hAnsi="Times New Roman"/>
          <w:lang w:val="en-US" w:eastAsia="zh-CN"/>
        </w:rPr>
        <w:t>: LMF</w:t>
      </w:r>
      <w:r>
        <w:rPr>
          <w:rFonts w:ascii="Times New Roman" w:hAnsi="Times New Roman"/>
        </w:rPr>
        <w:t xml:space="preserve"> calculates the </w:t>
      </w:r>
      <w:r>
        <w:rPr>
          <w:rFonts w:ascii="Times New Roman" w:hAnsi="Times New Roman"/>
          <w:lang w:val="en-US" w:eastAsia="zh-CN"/>
        </w:rPr>
        <w:t>UE/</w:t>
      </w:r>
      <w:r>
        <w:rPr>
          <w:rFonts w:ascii="Times New Roman" w:hAnsi="Times New Roman"/>
        </w:rPr>
        <w:t xml:space="preserve">PRU location using the AI intermediate feature reported by more than one </w:t>
      </w:r>
      <w:r>
        <w:rPr>
          <w:rFonts w:ascii="Times New Roman" w:hAnsi="Times New Roman"/>
          <w:lang w:val="en-US" w:eastAsia="zh-CN"/>
        </w:rPr>
        <w:t>gNB</w:t>
      </w:r>
      <w:r>
        <w:rPr>
          <w:rFonts w:ascii="Times New Roman" w:hAnsi="Times New Roman"/>
        </w:rPr>
        <w:t xml:space="preserve">, meanwhile, </w:t>
      </w:r>
      <w:r>
        <w:rPr>
          <w:rFonts w:ascii="Times New Roman" w:hAnsi="Times New Roman"/>
          <w:lang w:val="en-US" w:eastAsia="zh-CN"/>
        </w:rPr>
        <w:t>LMF</w:t>
      </w:r>
      <w:r>
        <w:rPr>
          <w:rFonts w:ascii="Times New Roman" w:hAnsi="Times New Roman"/>
        </w:rPr>
        <w:t xml:space="preserve"> knows the accurate PRU location</w:t>
      </w:r>
      <w:r>
        <w:rPr>
          <w:rFonts w:ascii="Times New Roman" w:hAnsi="Times New Roman"/>
          <w:lang w:val="en-US" w:eastAsia="zh-CN"/>
        </w:rPr>
        <w:t xml:space="preserve"> (or LMF can determine UE location using legacy positioning method such as GNSS)</w:t>
      </w:r>
      <w:r>
        <w:rPr>
          <w:rFonts w:ascii="Times New Roman" w:hAnsi="Times New Roman"/>
        </w:rPr>
        <w:t xml:space="preserve">. </w:t>
      </w:r>
      <w:r>
        <w:rPr>
          <w:rFonts w:ascii="Times New Roman" w:hAnsi="Times New Roman"/>
          <w:lang w:val="en-US" w:eastAsia="zh-CN"/>
        </w:rPr>
        <w:t>Therefore, LMF</w:t>
      </w:r>
      <w:r>
        <w:rPr>
          <w:rFonts w:ascii="Times New Roman" w:hAnsi="Times New Roman"/>
        </w:rPr>
        <w:t xml:space="preserve"> can compare the calculated </w:t>
      </w:r>
      <w:r>
        <w:rPr>
          <w:rFonts w:ascii="Times New Roman" w:hAnsi="Times New Roman"/>
          <w:lang w:val="en-US" w:eastAsia="zh-CN"/>
        </w:rPr>
        <w:t>UE/</w:t>
      </w:r>
      <w:r>
        <w:rPr>
          <w:rFonts w:ascii="Times New Roman" w:hAnsi="Times New Roman"/>
        </w:rPr>
        <w:t xml:space="preserve">PRU location and the known accurate </w:t>
      </w:r>
      <w:r>
        <w:rPr>
          <w:rFonts w:ascii="Times New Roman" w:hAnsi="Times New Roman"/>
          <w:lang w:val="en-US" w:eastAsia="zh-CN"/>
        </w:rPr>
        <w:t>UE/</w:t>
      </w:r>
      <w:r>
        <w:rPr>
          <w:rFonts w:ascii="Times New Roman" w:hAnsi="Times New Roman"/>
        </w:rPr>
        <w:t>PRU location</w:t>
      </w:r>
      <w:r>
        <w:rPr>
          <w:rFonts w:ascii="Times New Roman" w:hAnsi="Times New Roman"/>
          <w:lang w:val="en-US" w:eastAsia="zh-CN"/>
        </w:rPr>
        <w:t xml:space="preserve"> to</w:t>
      </w:r>
      <w:r>
        <w:rPr>
          <w:rFonts w:ascii="Times New Roman" w:hAnsi="Times New Roman"/>
        </w:rPr>
        <w:t xml:space="preserve"> know whether the </w:t>
      </w:r>
      <w:r>
        <w:rPr>
          <w:rFonts w:ascii="Times New Roman" w:hAnsi="Times New Roman"/>
          <w:lang w:val="en-US" w:eastAsia="zh-CN"/>
        </w:rPr>
        <w:t xml:space="preserve">gNB-side </w:t>
      </w:r>
      <w:r>
        <w:rPr>
          <w:rFonts w:ascii="Times New Roman" w:hAnsi="Times New Roman"/>
        </w:rPr>
        <w:t>AI model</w:t>
      </w:r>
      <w:r>
        <w:rPr>
          <w:rFonts w:ascii="Times New Roman" w:hAnsi="Times New Roman"/>
          <w:lang w:val="en-US" w:eastAsia="zh-CN"/>
        </w:rPr>
        <w:t xml:space="preserve"> </w:t>
      </w:r>
      <w:r>
        <w:rPr>
          <w:rFonts w:ascii="Times New Roman" w:hAnsi="Times New Roman"/>
        </w:rPr>
        <w:t>is accurate or not.</w:t>
      </w:r>
    </w:p>
    <w:p>
      <w:pPr>
        <w:numPr>
          <w:ilvl w:val="0"/>
          <w:numId w:val="12"/>
        </w:numPr>
        <w:adjustRightInd w:val="0"/>
        <w:snapToGrid w:val="0"/>
        <w:spacing w:before="156" w:beforeLines="50" w:after="156" w:afterLines="50" w:line="240" w:lineRule="auto"/>
        <w:rPr>
          <w:rFonts w:ascii="Times New Roman" w:hAnsi="Times New Roman"/>
        </w:rPr>
      </w:pPr>
      <w:r>
        <w:rPr>
          <w:rFonts w:ascii="Times New Roman" w:hAnsi="Times New Roman"/>
          <w:u w:val="single"/>
          <w:lang w:val="en-US" w:eastAsia="zh-CN"/>
        </w:rPr>
        <w:t>Compare the intermediate features</w:t>
      </w:r>
      <w:r>
        <w:rPr>
          <w:rFonts w:ascii="Times New Roman" w:hAnsi="Times New Roman"/>
          <w:lang w:val="en-US" w:eastAsia="zh-CN"/>
        </w:rPr>
        <w:t>: LMF calculates the accurate intermediate feature of a certain UE (PRU)&amp;TRP pair based on the known UE/PRU location, and LMF compares the calculated accurate UE/PRU intermediate feature and the reported AI intermediate feature of each TRP. Then, LMF can know whether the gNB-side AI model is accurate or not.</w:t>
      </w:r>
    </w:p>
    <w:p>
      <w:pPr>
        <w:adjustRightInd w:val="0"/>
        <w:snapToGrid w:val="0"/>
        <w:spacing w:before="156" w:beforeLines="50" w:after="156" w:afterLines="50" w:line="240" w:lineRule="auto"/>
        <w:ind w:left="420"/>
        <w:jc w:val="center"/>
        <w:rPr>
          <w:rFonts w:ascii="Times New Roman" w:hAnsi="Times New Roman"/>
          <w:lang w:val="en-US" w:eastAsia="zh-CN"/>
        </w:rPr>
      </w:pPr>
      <w:r>
        <w:rPr>
          <w:rFonts w:ascii="Times New Roman" w:hAnsi="Times New Roman"/>
          <w:lang w:val="en-US" w:eastAsia="zh-CN"/>
        </w:rPr>
        <w:drawing>
          <wp:inline distT="0" distB="0" distL="114300" distR="114300">
            <wp:extent cx="5726430" cy="4006850"/>
            <wp:effectExtent l="0" t="0" r="0" b="12700"/>
            <wp:docPr id="6" name="图片 6" descr="3a monito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a monitoring"/>
                    <pic:cNvPicPr>
                      <a:picLocks noChangeAspect="1"/>
                    </pic:cNvPicPr>
                  </pic:nvPicPr>
                  <pic:blipFill>
                    <a:blip r:embed="rId10"/>
                    <a:stretch>
                      <a:fillRect/>
                    </a:stretch>
                  </pic:blipFill>
                  <pic:spPr>
                    <a:xfrm>
                      <a:off x="0" y="0"/>
                      <a:ext cx="5726430" cy="4006850"/>
                    </a:xfrm>
                    <a:prstGeom prst="rect">
                      <a:avLst/>
                    </a:prstGeom>
                  </pic:spPr>
                </pic:pic>
              </a:graphicData>
            </a:graphic>
          </wp:inline>
        </w:drawing>
      </w:r>
    </w:p>
    <w:p>
      <w:pPr>
        <w:adjustRightInd w:val="0"/>
        <w:snapToGrid w:val="0"/>
        <w:spacing w:before="156" w:beforeLines="50" w:after="156" w:afterLines="50" w:line="240" w:lineRule="auto"/>
        <w:ind w:left="420"/>
        <w:jc w:val="center"/>
        <w:rPr>
          <w:rFonts w:ascii="Times New Roman" w:hAnsi="Times New Roman"/>
          <w:lang w:val="en-US"/>
        </w:rPr>
      </w:pPr>
      <w:r>
        <w:rPr>
          <w:rFonts w:ascii="Times New Roman" w:hAnsi="Times New Roman"/>
          <w:lang w:val="en-US" w:eastAsia="zh-CN"/>
        </w:rPr>
        <w:t>Figure</w:t>
      </w:r>
      <w:r>
        <w:rPr>
          <w:rFonts w:hint="eastAsia" w:ascii="Times New Roman" w:hAnsi="Times New Roman"/>
          <w:lang w:val="en-US" w:eastAsia="zh-CN"/>
        </w:rPr>
        <w:t xml:space="preserve"> </w:t>
      </w:r>
      <w:r>
        <w:rPr>
          <w:rFonts w:ascii="Times New Roman" w:hAnsi="Times New Roman"/>
          <w:lang w:val="en-US" w:eastAsia="zh-CN"/>
        </w:rPr>
        <w:t>2</w:t>
      </w:r>
      <w:r>
        <w:rPr>
          <w:rFonts w:hint="eastAsia" w:ascii="Times New Roman" w:hAnsi="Times New Roman"/>
          <w:lang w:val="en-US" w:eastAsia="zh-CN"/>
        </w:rPr>
        <w:t xml:space="preserve">. </w:t>
      </w:r>
      <w:r>
        <w:rPr>
          <w:rFonts w:ascii="Times New Roman" w:hAnsi="Times New Roman"/>
          <w:lang w:val="en-US" w:eastAsia="zh-CN"/>
        </w:rPr>
        <w:t>B</w:t>
      </w:r>
      <w:r>
        <w:rPr>
          <w:rFonts w:hint="eastAsia" w:ascii="Times New Roman" w:hAnsi="Times New Roman"/>
          <w:lang w:val="en-US" w:eastAsia="zh-CN"/>
        </w:rPr>
        <w:t>asic procedure of performance monitoring at LMF side</w:t>
      </w:r>
    </w:p>
    <w:p>
      <w:pPr>
        <w:adjustRightInd w:val="0"/>
        <w:snapToGrid w:val="0"/>
        <w:spacing w:before="156" w:beforeLines="50" w:after="156" w:afterLines="50" w:line="240" w:lineRule="auto"/>
        <w:rPr>
          <w:rFonts w:ascii="Times New Roman" w:hAnsi="Times New Roman"/>
          <w:b/>
          <w:bCs/>
          <w:u w:val="single"/>
          <w:lang w:val="en-US" w:eastAsia="zh-CN"/>
        </w:rPr>
      </w:pPr>
      <w:r>
        <w:rPr>
          <w:rFonts w:ascii="Times New Roman" w:hAnsi="Times New Roman"/>
          <w:b/>
          <w:bCs/>
          <w:u w:val="single"/>
          <w:lang w:val="en-US" w:eastAsia="zh-CN"/>
        </w:rPr>
        <w:t>Performance monitoring is at gNB side</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For the performance monitoring, comparing the UE/PRU location is more accurate than comparing the intermediate features. </w:t>
      </w:r>
      <w:r>
        <w:rPr>
          <w:rFonts w:ascii="Times New Roman" w:hAnsi="Times New Roman"/>
        </w:rPr>
        <w:t xml:space="preserve">However, </w:t>
      </w:r>
      <w:r>
        <w:rPr>
          <w:rFonts w:ascii="Times New Roman" w:hAnsi="Times New Roman"/>
          <w:lang w:val="en-US" w:eastAsia="zh-CN"/>
        </w:rPr>
        <w:t>s</w:t>
      </w:r>
      <w:r>
        <w:rPr>
          <w:rFonts w:ascii="Times New Roman" w:hAnsi="Times New Roman"/>
        </w:rPr>
        <w:t xml:space="preserve">ince multiple </w:t>
      </w:r>
      <w:r>
        <w:rPr>
          <w:rFonts w:ascii="Times New Roman" w:hAnsi="Times New Roman"/>
          <w:lang w:val="en-US" w:eastAsia="zh-CN"/>
        </w:rPr>
        <w:t>gNBs</w:t>
      </w:r>
      <w:r>
        <w:rPr>
          <w:rFonts w:ascii="Times New Roman" w:hAnsi="Times New Roman"/>
        </w:rPr>
        <w:t xml:space="preserve"> can have its own AI model and output its own AI intermediate features,</w:t>
      </w:r>
      <w:r>
        <w:rPr>
          <w:rFonts w:ascii="Times New Roman" w:hAnsi="Times New Roman"/>
          <w:lang w:val="en-US" w:eastAsia="zh-CN"/>
        </w:rPr>
        <w:t xml:space="preserve"> </w:t>
      </w:r>
      <w:r>
        <w:rPr>
          <w:rFonts w:ascii="Times New Roman" w:hAnsi="Times New Roman"/>
        </w:rPr>
        <w:t xml:space="preserve">when LMF </w:t>
      </w:r>
      <w:r>
        <w:rPr>
          <w:rFonts w:ascii="Times New Roman" w:hAnsi="Times New Roman"/>
          <w:lang w:val="en-US" w:eastAsia="zh-CN"/>
        </w:rPr>
        <w:t>compares</w:t>
      </w:r>
      <w:r>
        <w:rPr>
          <w:rFonts w:ascii="Times New Roman" w:hAnsi="Times New Roman"/>
        </w:rPr>
        <w:t xml:space="preserve"> </w:t>
      </w:r>
      <w:r>
        <w:rPr>
          <w:rFonts w:ascii="Times New Roman" w:hAnsi="Times New Roman"/>
          <w:lang w:val="en-US" w:eastAsia="zh-CN"/>
        </w:rPr>
        <w:t xml:space="preserve">the </w:t>
      </w:r>
      <w:r>
        <w:rPr>
          <w:rFonts w:ascii="Times New Roman" w:hAnsi="Times New Roman"/>
        </w:rPr>
        <w:t xml:space="preserve">UE location to determine the AI model performance, </w:t>
      </w:r>
      <w:r>
        <w:rPr>
          <w:rFonts w:ascii="Times New Roman" w:hAnsi="Times New Roman"/>
          <w:lang w:val="en-US" w:eastAsia="zh-CN"/>
        </w:rPr>
        <w:t>LMF</w:t>
      </w:r>
      <w:r>
        <w:rPr>
          <w:rFonts w:ascii="Times New Roman" w:hAnsi="Times New Roman"/>
        </w:rPr>
        <w:t xml:space="preserve"> </w:t>
      </w:r>
      <w:r>
        <w:rPr>
          <w:rFonts w:ascii="Times New Roman" w:hAnsi="Times New Roman"/>
          <w:lang w:val="en-US" w:eastAsia="zh-CN"/>
        </w:rPr>
        <w:t>cannot tell</w:t>
      </w:r>
      <w:r>
        <w:rPr>
          <w:rFonts w:ascii="Times New Roman" w:hAnsi="Times New Roman"/>
        </w:rPr>
        <w:t xml:space="preserve"> which </w:t>
      </w:r>
      <w:r>
        <w:rPr>
          <w:rFonts w:ascii="Times New Roman" w:hAnsi="Times New Roman"/>
          <w:lang w:val="en-US" w:eastAsia="zh-CN"/>
        </w:rPr>
        <w:t>gNB</w:t>
      </w:r>
      <w:r>
        <w:rPr>
          <w:rFonts w:ascii="Times New Roman" w:hAnsi="Times New Roman"/>
        </w:rPr>
        <w:t xml:space="preserve">’s AI model is </w:t>
      </w:r>
      <w:r>
        <w:rPr>
          <w:rFonts w:ascii="Times New Roman" w:hAnsi="Times New Roman"/>
          <w:lang w:val="en-US" w:eastAsia="zh-CN"/>
        </w:rPr>
        <w:t>in</w:t>
      </w:r>
      <w:r>
        <w:rPr>
          <w:rFonts w:ascii="Times New Roman" w:hAnsi="Times New Roman"/>
        </w:rPr>
        <w:t>accurate</w:t>
      </w:r>
      <w:r>
        <w:rPr>
          <w:rFonts w:ascii="Times New Roman" w:hAnsi="Times New Roman"/>
          <w:lang w:val="en-US" w:eastAsia="zh-CN"/>
        </w:rPr>
        <w:t>. To solve the problem, performance monitoring can also be done at each gNB side where the AI model is in.</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In this case, each gNB should monitor its own AI model. One approach is, gNB can measure PRU’s SRS and make AI intermediate feature measurements of the SRS. If gNB knows the PRU location, gNB can calculate the accurate intermediate feature of the PRU. gNB compares the AI intermediate feature and the calculated the accurate intermediate feature of the same PRU to determine whether the AI model is accurate or not.</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In summary, for usecase 3a, RAN2 should discuss which entity (gNB or LMF) should perform the AI performance monitoring.</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5: In AI/ML positioning, for gNB-side model (usecase 3a), RAN2 to discuss which entity (gNB or LMF) should perform the AI performance monitoring.</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6: In AI/ML positioning, for gNB-side model (usecase 3a), if performance monitoring is at LMF side, RAN2 to consider two ways for LMF to perform performance monitoring:</w:t>
      </w:r>
    </w:p>
    <w:p>
      <w:pPr>
        <w:numPr>
          <w:ilvl w:val="0"/>
          <w:numId w:val="12"/>
        </w:num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 xml:space="preserve">Compare the UE/PRU locations </w:t>
      </w:r>
    </w:p>
    <w:p>
      <w:pPr>
        <w:numPr>
          <w:ilvl w:val="0"/>
          <w:numId w:val="12"/>
        </w:num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Compare the AI intermediate features of each gNB</w:t>
      </w:r>
    </w:p>
    <w:p>
      <w:pPr>
        <w:adjustRightInd w:val="0"/>
        <w:snapToGrid w:val="0"/>
        <w:spacing w:before="156" w:beforeLines="50" w:after="156" w:afterLines="50" w:line="240" w:lineRule="auto"/>
        <w:rPr>
          <w:rFonts w:ascii="Times New Roman" w:hAnsi="Times New Roman"/>
          <w:b/>
          <w:bCs/>
          <w:i/>
          <w:iCs/>
          <w:lang w:val="en-US" w:eastAsia="zh-CN"/>
        </w:rPr>
      </w:pPr>
    </w:p>
    <w:p>
      <w:pPr>
        <w:pStyle w:val="5"/>
        <w:rPr>
          <w:lang w:val="en-US" w:eastAsia="zh-CN"/>
        </w:rPr>
      </w:pPr>
      <w:r>
        <w:rPr>
          <w:rFonts w:hint="eastAsia"/>
          <w:lang w:val="en-US" w:eastAsia="zh-CN"/>
        </w:rPr>
        <w:t>gNB-side AI model deployment</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Within one gNB having a CU/DU split structure, it is worth to discuss whether the AI model is in CU side or DU side since different entity having the AI model will have impact on the LCM procedure and introduce different specification impacts. Currently the SRS configuration is configured by DU, and SRS is measured in DU. One DU can be associated with one or more TRPs. </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If AI model is in CU, DU should report SRS AI measurement to CU, and CU reports the AI intermediate feature to LMF. It is straightforward to allocate the AI model in CU because CU owns more capability comparing with the DU, and this can be aligned with the implementation of other AI model used for other usecases, which is easier for gNB to perform.</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If AI model is in DU, DU should report the AI intermediate feature to CU, then CU reports the AI intermediate feature to LMF. If in this way, the specification impact is smaller and the AI model can be simpler.</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b/>
          <w:bCs/>
          <w:i/>
          <w:iCs/>
          <w:lang w:val="en-US" w:eastAsia="zh-CN"/>
        </w:rPr>
        <w:t>Proposal 7: In AI/ML positioning, for gNB-side model (usecase 3a) with a CU/DU split structure, RAN2 should discuss whether the AI model should be in CU or DU.</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For UL positioning, multiple gNB/TRPs should measure the SRS from the same UE, and the multiple gNB/TRPs report the SRS measurement results to a LMF for UE location calculation. In this procedure if AI model is in gNB side, one basic question is that the multiple gNB/TRPs can have different AI model, or all the gNB/TRPs that are involved in the same positioning session should have same AI model? In functionality based LCM, when the functionality is activated (e.g., gNB-side inference is triggered), gNB can choose to have same or different AI models. Using the same AI model means the model should be trained to have strong generalization ability, and supporting this will lead to a hard requirement on model transfer. We think there is no need for all the gNBs to use the same AI model in the functionality because different gNBs may have different conditions (calculating capability, power, connection situation with other nodes, etc.). Considering the flexibility of gNB’s implementation, we think different gNB/TRPs can choose to use different AI model for positioning.</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8: In AI/ML positioning, for gNB-side model (usecase 3a), different gNB/TRPs can choose to use different AI models for a certain functionality.</w:t>
      </w:r>
    </w:p>
    <w:p>
      <w:pPr>
        <w:pStyle w:val="4"/>
        <w:rPr>
          <w:lang w:val="en-US" w:eastAsia="zh-CN"/>
        </w:rPr>
      </w:pPr>
      <w:r>
        <w:rPr>
          <w:rFonts w:hint="eastAsia"/>
          <w:lang w:val="en-US" w:eastAsia="zh-CN"/>
        </w:rPr>
        <w:t>LMF-side model (Usecase 3b</w:t>
      </w:r>
      <w:r>
        <w:rPr>
          <w:lang w:val="en-US" w:eastAsia="zh-CN"/>
        </w:rPr>
        <w:t xml:space="preserve"> and usecase 2b</w:t>
      </w:r>
      <w:r>
        <w:rPr>
          <w:rFonts w:hint="eastAsia"/>
          <w:lang w:val="en-US" w:eastAsia="zh-CN"/>
        </w:rPr>
        <w:t>)</w:t>
      </w:r>
    </w:p>
    <w:p>
      <w:pPr>
        <w:pStyle w:val="5"/>
        <w:rPr>
          <w:lang w:val="en-US" w:eastAsia="zh-CN"/>
        </w:rPr>
      </w:pPr>
      <w:r>
        <w:rPr>
          <w:rFonts w:hint="eastAsia"/>
          <w:lang w:val="en-US" w:eastAsia="zh-CN"/>
        </w:rPr>
        <w:t xml:space="preserve">LCM control </w:t>
      </w:r>
    </w:p>
    <w:p>
      <w:pPr>
        <w:tabs>
          <w:tab w:val="left" w:pos="432"/>
        </w:tabs>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In legacy positioning, LMF schedules UE to measure PRS and report PRS measurement</w:t>
      </w:r>
      <w:r>
        <w:rPr>
          <w:rFonts w:hint="eastAsia" w:ascii="Times New Roman" w:hAnsi="Times New Roman"/>
          <w:lang w:val="en-US" w:eastAsia="zh-CN"/>
        </w:rPr>
        <w:t>, LMF also schedules gNB to measure SRS and report SRS measurement. For usecase 3b/2b, we think the baseline should be the same, i.e., LMF should also take control of the LCM procedure. To be specific, for usecase 2b, LMF can schedule/request UE to report PRS AI measurement (e.g., CIR/PDP/DP) via existing LPP protocol; for usecase 3b, LMF can schedule/request serving/neighbor gNBs of the target UE to report SRS AI measurement via existing NRPPa protocol. Furthermore, the purpose of LMF</w:t>
      </w:r>
      <w:r>
        <w:rPr>
          <w:rFonts w:ascii="Times New Roman" w:hAnsi="Times New Roman"/>
          <w:lang w:val="en-US" w:eastAsia="zh-CN"/>
        </w:rPr>
        <w:t>’</w:t>
      </w:r>
      <w:r>
        <w:rPr>
          <w:rFonts w:hint="eastAsia" w:ascii="Times New Roman" w:hAnsi="Times New Roman"/>
          <w:lang w:val="en-US" w:eastAsia="zh-CN"/>
        </w:rPr>
        <w:t>s requesting can be for model training, model inference or performance monitoring.</w:t>
      </w:r>
    </w:p>
    <w:p>
      <w:pPr>
        <w:tabs>
          <w:tab w:val="left" w:pos="432"/>
        </w:tabs>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 xml:space="preserve">Proposal 9: Support </w:t>
      </w:r>
      <w:r>
        <w:rPr>
          <w:rFonts w:ascii="Times New Roman" w:hAnsi="Times New Roman"/>
          <w:b/>
          <w:i/>
          <w:lang w:val="en-US" w:eastAsia="zh-CN"/>
        </w:rPr>
        <w:t>LMF to take control of the LCM procedure for LMF-side model:</w:t>
      </w:r>
    </w:p>
    <w:p>
      <w:pPr>
        <w:pStyle w:val="69"/>
        <w:numPr>
          <w:ilvl w:val="0"/>
          <w:numId w:val="13"/>
        </w:numPr>
        <w:tabs>
          <w:tab w:val="left" w:pos="432"/>
        </w:tabs>
        <w:adjustRightInd w:val="0"/>
        <w:snapToGrid w:val="0"/>
        <w:spacing w:before="156" w:beforeLines="50" w:after="156" w:afterLines="50" w:line="240" w:lineRule="auto"/>
        <w:ind w:firstLineChars="0"/>
        <w:rPr>
          <w:rFonts w:ascii="Times New Roman" w:hAnsi="Times New Roman"/>
          <w:b/>
          <w:bCs/>
          <w:i/>
          <w:iCs/>
          <w:lang w:val="en-US" w:eastAsia="zh-CN"/>
        </w:rPr>
      </w:pPr>
      <w:r>
        <w:rPr>
          <w:rFonts w:ascii="Times New Roman" w:hAnsi="Times New Roman"/>
          <w:b/>
          <w:bCs/>
          <w:i/>
          <w:iCs/>
          <w:lang w:val="en-US" w:eastAsia="zh-CN"/>
        </w:rPr>
        <w:t xml:space="preserve">For usecase2b, LMF can schedule/request UE to report PRS AI measurement (e.g., CIR/PDP/DP) via existing LPP protocol; </w:t>
      </w:r>
    </w:p>
    <w:p>
      <w:pPr>
        <w:pStyle w:val="69"/>
        <w:numPr>
          <w:ilvl w:val="0"/>
          <w:numId w:val="13"/>
        </w:numPr>
        <w:tabs>
          <w:tab w:val="left" w:pos="432"/>
        </w:tabs>
        <w:adjustRightInd w:val="0"/>
        <w:snapToGrid w:val="0"/>
        <w:spacing w:before="156" w:beforeLines="50" w:after="156" w:afterLines="50" w:line="240" w:lineRule="auto"/>
        <w:ind w:firstLineChars="0"/>
        <w:rPr>
          <w:rFonts w:ascii="Times New Roman" w:hAnsi="Times New Roman"/>
          <w:b/>
          <w:bCs/>
          <w:i/>
          <w:iCs/>
          <w:lang w:val="en-US" w:eastAsia="zh-CN"/>
        </w:rPr>
      </w:pPr>
      <w:r>
        <w:rPr>
          <w:rFonts w:ascii="Times New Roman" w:hAnsi="Times New Roman"/>
          <w:b/>
          <w:bCs/>
          <w:i/>
          <w:iCs/>
          <w:lang w:val="en-US" w:eastAsia="zh-CN"/>
        </w:rPr>
        <w:t>For usecase 3b, LMF can schedule/request serving/neighbor gNBs of the target UE to report SRS AI measurement via existing NRPPa protocol.</w:t>
      </w:r>
    </w:p>
    <w:p>
      <w:pPr>
        <w:tabs>
          <w:tab w:val="left" w:pos="432"/>
        </w:tabs>
        <w:rPr>
          <w:lang w:val="en-US" w:eastAsia="zh-CN"/>
        </w:rPr>
      </w:pPr>
    </w:p>
    <w:p>
      <w:pPr>
        <w:pStyle w:val="5"/>
        <w:rPr>
          <w:lang w:val="en-US" w:eastAsia="zh-CN"/>
        </w:rPr>
      </w:pPr>
      <w:r>
        <w:rPr>
          <w:rFonts w:hint="eastAsia"/>
          <w:lang w:val="en-US" w:eastAsia="zh-CN"/>
        </w:rPr>
        <w:t xml:space="preserve">Model inference </w:t>
      </w:r>
    </w:p>
    <w:p>
      <w:pPr>
        <w:adjustRightInd w:val="0"/>
        <w:snapToGrid w:val="0"/>
        <w:spacing w:before="156" w:beforeLines="50" w:after="156" w:afterLines="50" w:line="240" w:lineRule="auto"/>
        <w:rPr>
          <w:lang w:val="en-US" w:eastAsia="zh-CN"/>
        </w:rPr>
      </w:pPr>
      <w:r>
        <w:rPr>
          <w:rFonts w:ascii="Times New Roman" w:hAnsi="Times New Roman"/>
          <w:lang w:val="en-US" w:eastAsia="zh-CN"/>
        </w:rPr>
        <w:t xml:space="preserve">For usecase 3b, the AI inference is done at LMF-side AI model, the input of the AI model is TRP’s AI measurement of SRS (e.g., </w:t>
      </w:r>
      <w:r>
        <w:rPr>
          <w:rFonts w:hint="eastAsia" w:ascii="Times New Roman" w:hAnsi="Times New Roman"/>
          <w:lang w:val="en-US" w:eastAsia="zh-CN"/>
        </w:rPr>
        <w:t>C</w:t>
      </w:r>
      <w:r>
        <w:rPr>
          <w:rFonts w:ascii="Times New Roman" w:hAnsi="Times New Roman"/>
          <w:lang w:val="en-US" w:eastAsia="zh-CN"/>
        </w:rPr>
        <w:t>IR/PDP/DP), the output of the AI model is UE location. LMF is responsible for gathering multiple gNB’s reported AI measurement of SRS and derive a UE location via AI model.</w:t>
      </w:r>
    </w:p>
    <w:p>
      <w:pPr>
        <w:jc w:val="center"/>
        <w:rPr>
          <w:lang w:val="en-US" w:eastAsia="zh-CN"/>
        </w:rPr>
      </w:pPr>
      <w:r>
        <w:rPr>
          <w:lang w:val="en-US" w:eastAsia="zh-CN"/>
        </w:rPr>
        <w:drawing>
          <wp:inline distT="0" distB="0" distL="114300" distR="114300">
            <wp:extent cx="4065270" cy="972185"/>
            <wp:effectExtent l="0" t="0" r="0" b="18415"/>
            <wp:docPr id="2" name="图片 2" descr="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b"/>
                    <pic:cNvPicPr>
                      <a:picLocks noChangeAspect="1"/>
                    </pic:cNvPicPr>
                  </pic:nvPicPr>
                  <pic:blipFill>
                    <a:blip r:embed="rId11"/>
                    <a:stretch>
                      <a:fillRect/>
                    </a:stretch>
                  </pic:blipFill>
                  <pic:spPr>
                    <a:xfrm>
                      <a:off x="0" y="0"/>
                      <a:ext cx="4065270" cy="972185"/>
                    </a:xfrm>
                    <a:prstGeom prst="rect">
                      <a:avLst/>
                    </a:prstGeom>
                  </pic:spPr>
                </pic:pic>
              </a:graphicData>
            </a:graphic>
          </wp:inline>
        </w:drawing>
      </w:r>
    </w:p>
    <w:p>
      <w:pPr>
        <w:adjustRightInd w:val="0"/>
        <w:snapToGrid w:val="0"/>
        <w:spacing w:before="156" w:beforeLines="50" w:after="156" w:afterLines="50" w:line="240" w:lineRule="auto"/>
        <w:jc w:val="center"/>
        <w:rPr>
          <w:rFonts w:ascii="Times New Roman" w:hAnsi="Times New Roman"/>
          <w:lang w:val="en-US" w:eastAsia="zh-CN"/>
        </w:rPr>
      </w:pPr>
      <w:r>
        <w:rPr>
          <w:rFonts w:hint="eastAsia" w:ascii="Times New Roman" w:hAnsi="Times New Roman"/>
          <w:lang w:val="en-US" w:eastAsia="zh-CN"/>
        </w:rPr>
        <w:t>Figure 3. Usecase 3b, model inference is at LMF side</w:t>
      </w:r>
    </w:p>
    <w:p>
      <w:pPr>
        <w:adjustRightInd w:val="0"/>
        <w:snapToGrid w:val="0"/>
        <w:spacing w:before="156" w:beforeLines="50" w:after="156" w:afterLines="50" w:line="240" w:lineRule="auto"/>
        <w:rPr>
          <w:lang w:val="en-US" w:eastAsia="zh-CN"/>
        </w:rPr>
      </w:pPr>
      <w:r>
        <w:rPr>
          <w:rFonts w:ascii="Times New Roman" w:hAnsi="Times New Roman"/>
          <w:lang w:val="en-US" w:eastAsia="zh-CN"/>
        </w:rPr>
        <w:t>For usecase 2b, the AI inference is done at LMF-side AI model, the input of the AI model is UE’s AI measurement of PRS (e.g., CIR/PDP/DP), the output of the AI model is UE location. LMF is responsible for gathering UE’s reported AI measurement of PRS and derive a UE location via AI model.</w:t>
      </w:r>
    </w:p>
    <w:p>
      <w:pPr>
        <w:jc w:val="center"/>
        <w:rPr>
          <w:lang w:val="en-US" w:eastAsia="zh-CN"/>
        </w:rPr>
      </w:pPr>
      <w:r>
        <w:rPr>
          <w:lang w:val="en-US" w:eastAsia="zh-CN"/>
        </w:rPr>
        <w:drawing>
          <wp:inline distT="0" distB="0" distL="114300" distR="114300">
            <wp:extent cx="4086225" cy="972185"/>
            <wp:effectExtent l="0" t="0" r="0" b="18415"/>
            <wp:docPr id="4" name="图片 4" descr="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b"/>
                    <pic:cNvPicPr>
                      <a:picLocks noChangeAspect="1"/>
                    </pic:cNvPicPr>
                  </pic:nvPicPr>
                  <pic:blipFill>
                    <a:blip r:embed="rId12"/>
                    <a:stretch>
                      <a:fillRect/>
                    </a:stretch>
                  </pic:blipFill>
                  <pic:spPr>
                    <a:xfrm>
                      <a:off x="0" y="0"/>
                      <a:ext cx="4086225" cy="972185"/>
                    </a:xfrm>
                    <a:prstGeom prst="rect">
                      <a:avLst/>
                    </a:prstGeom>
                  </pic:spPr>
                </pic:pic>
              </a:graphicData>
            </a:graphic>
          </wp:inline>
        </w:drawing>
      </w:r>
    </w:p>
    <w:p>
      <w:pPr>
        <w:adjustRightInd w:val="0"/>
        <w:snapToGrid w:val="0"/>
        <w:spacing w:before="156" w:beforeLines="50" w:after="156" w:afterLines="50" w:line="240" w:lineRule="auto"/>
        <w:jc w:val="center"/>
        <w:rPr>
          <w:rFonts w:ascii="Times New Roman" w:hAnsi="Times New Roman"/>
          <w:lang w:val="en-US" w:eastAsia="zh-CN"/>
        </w:rPr>
      </w:pPr>
      <w:r>
        <w:rPr>
          <w:rFonts w:hint="eastAsia" w:ascii="Times New Roman" w:hAnsi="Times New Roman"/>
          <w:lang w:val="en-US" w:eastAsia="zh-CN"/>
        </w:rPr>
        <w:t xml:space="preserve">Figure </w:t>
      </w:r>
      <w:r>
        <w:rPr>
          <w:rFonts w:ascii="Times New Roman" w:hAnsi="Times New Roman"/>
          <w:lang w:val="en-US" w:eastAsia="zh-CN"/>
        </w:rPr>
        <w:t>4</w:t>
      </w:r>
      <w:r>
        <w:rPr>
          <w:rFonts w:hint="eastAsia" w:ascii="Times New Roman" w:hAnsi="Times New Roman"/>
          <w:lang w:val="en-US" w:eastAsia="zh-CN"/>
        </w:rPr>
        <w:t>. Usecase 2b, model inference is at LMF side</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 xml:space="preserve">Observation 3: In AI/ML positioning, for LMF-side model (usecase 3b and usecase 2b), the AI inference is </w:t>
      </w:r>
      <w:r>
        <w:rPr>
          <w:rFonts w:hint="eastAsia" w:ascii="Times New Roman" w:hAnsi="Times New Roman"/>
          <w:b/>
          <w:bCs/>
          <w:i/>
          <w:iCs/>
          <w:lang w:val="en-US" w:eastAsia="zh-CN"/>
        </w:rPr>
        <w:t>performed</w:t>
      </w:r>
      <w:r>
        <w:rPr>
          <w:rFonts w:ascii="Times New Roman" w:hAnsi="Times New Roman"/>
          <w:b/>
          <w:bCs/>
          <w:i/>
          <w:iCs/>
          <w:lang w:val="en-US" w:eastAsia="zh-CN"/>
        </w:rPr>
        <w:t xml:space="preserve"> at LMF side.</w:t>
      </w:r>
    </w:p>
    <w:p>
      <w:pPr>
        <w:pStyle w:val="5"/>
        <w:rPr>
          <w:lang w:val="en-US" w:eastAsia="zh-CN"/>
        </w:rPr>
      </w:pPr>
      <w:r>
        <w:rPr>
          <w:rFonts w:hint="eastAsia"/>
          <w:lang w:val="en-US" w:eastAsia="zh-CN"/>
        </w:rPr>
        <w:t>Model training</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Since the inference is at LMF for LMF-side model, the model training should at least be done at core network element side rather than other entities (UE or gNB), in order to avoid the additional effort of model transfer between training and inference between entities. Furthermore, LMF can directly get plenty of training data from multiple TRPs using the existing NRPPa protocol, if other entity is to perform AI training instead of LMF, the unnecessary data set transfer procedure from LMF to the entity will occur. Furthermore, SA2 has agreed a potential solution that NWDAF or LMF should perform model training for LMF side model, captured in TR23.700 [3], solution#1: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pPr>
              <w:pStyle w:val="4"/>
              <w:numPr>
                <w:ilvl w:val="0"/>
                <w:numId w:val="0"/>
              </w:numPr>
              <w:snapToGrid w:val="0"/>
              <w:spacing w:before="156" w:beforeLines="50" w:after="156" w:afterLines="50" w:line="240" w:lineRule="auto"/>
              <w:outlineLvl w:val="2"/>
              <w:rPr>
                <w:rFonts w:cs="Arial" w:eastAsiaTheme="minorEastAsia"/>
                <w:b w:val="0"/>
                <w:bCs w:val="0"/>
                <w:sz w:val="21"/>
                <w:szCs w:val="21"/>
                <w:lang w:eastAsia="zh-CN"/>
              </w:rPr>
            </w:pPr>
            <w:r>
              <w:rPr>
                <w:rFonts w:cs="Arial" w:eastAsiaTheme="minorEastAsia"/>
                <w:b w:val="0"/>
                <w:bCs w:val="0"/>
                <w:sz w:val="21"/>
                <w:szCs w:val="21"/>
                <w:lang w:eastAsia="zh-CN"/>
              </w:rPr>
              <w:t>S</w:t>
            </w:r>
            <w:r>
              <w:rPr>
                <w:rFonts w:hint="eastAsia" w:cs="Arial" w:eastAsiaTheme="minorEastAsia"/>
                <w:b w:val="0"/>
                <w:bCs w:val="0"/>
                <w:sz w:val="21"/>
                <w:szCs w:val="21"/>
                <w:lang w:eastAsia="zh-CN"/>
              </w:rPr>
              <w:t xml:space="preserve">olution </w:t>
            </w:r>
            <w:r>
              <w:rPr>
                <w:rFonts w:cs="Arial" w:eastAsiaTheme="minorEastAsia"/>
                <w:b w:val="0"/>
                <w:bCs w:val="0"/>
                <w:sz w:val="21"/>
                <w:szCs w:val="21"/>
                <w:lang w:eastAsia="zh-CN"/>
              </w:rPr>
              <w:t>#1:</w:t>
            </w:r>
          </w:p>
          <w:p>
            <w:pPr>
              <w:pStyle w:val="4"/>
              <w:numPr>
                <w:ilvl w:val="0"/>
                <w:numId w:val="0"/>
              </w:numPr>
              <w:snapToGrid w:val="0"/>
              <w:spacing w:before="156" w:beforeLines="50" w:after="156" w:afterLines="50" w:line="240" w:lineRule="auto"/>
              <w:outlineLvl w:val="2"/>
              <w:rPr>
                <w:rFonts w:eastAsia="Times New Roman" w:cs="Arial"/>
                <w:sz w:val="21"/>
                <w:szCs w:val="21"/>
                <w:lang w:val="en-US" w:eastAsia="zh-CN"/>
              </w:rPr>
            </w:pPr>
            <w:r>
              <w:rPr>
                <w:rFonts w:cs="Arial"/>
                <w:b w:val="0"/>
                <w:bCs w:val="0"/>
                <w:sz w:val="21"/>
                <w:szCs w:val="21"/>
              </w:rPr>
              <w:t>6.1.3</w:t>
            </w:r>
            <w:r>
              <w:rPr>
                <w:rFonts w:cs="Arial"/>
                <w:b w:val="0"/>
                <w:bCs w:val="0"/>
                <w:sz w:val="21"/>
                <w:szCs w:val="21"/>
              </w:rPr>
              <w:tab/>
            </w:r>
            <w:r>
              <w:rPr>
                <w:rFonts w:cs="Arial"/>
                <w:b w:val="0"/>
                <w:bCs w:val="0"/>
                <w:sz w:val="21"/>
                <w:szCs w:val="21"/>
              </w:rPr>
              <w:t>Impacts on services, entities and interfaces</w:t>
            </w:r>
          </w:p>
          <w:p>
            <w:pPr>
              <w:adjustRightInd w:val="0"/>
              <w:snapToGrid w:val="0"/>
              <w:spacing w:before="156" w:beforeLines="50" w:after="156" w:afterLines="50" w:line="240" w:lineRule="auto"/>
              <w:rPr>
                <w:rFonts w:ascii="Times New Roman" w:hAnsi="Times New Roman"/>
              </w:rPr>
            </w:pPr>
            <w:r>
              <w:rPr>
                <w:rFonts w:ascii="Times New Roman" w:hAnsi="Times New Roman"/>
              </w:rPr>
              <w:t>LMF</w:t>
            </w:r>
          </w:p>
          <w:p>
            <w:pPr>
              <w:pStyle w:val="96"/>
              <w:snapToGrid w:val="0"/>
              <w:spacing w:before="156" w:beforeLines="50" w:after="156" w:afterLines="50" w:line="240" w:lineRule="auto"/>
              <w:ind w:left="703"/>
              <w:contextualSpacing w:val="0"/>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Determine to use AI/ML based positioning to obtain UE location, based on LMF’s AI/ML based positioning related capability and measurement data types reported from UE or RAN;</w:t>
            </w:r>
          </w:p>
          <w:p>
            <w:pPr>
              <w:pStyle w:val="96"/>
              <w:snapToGrid w:val="0"/>
              <w:spacing w:before="156" w:beforeLines="50" w:after="156" w:afterLines="50" w:line="240" w:lineRule="auto"/>
              <w:ind w:left="703"/>
              <w:contextualSpacing w:val="0"/>
              <w:rPr>
                <w:rFonts w:ascii="Times New Roman" w:hAnsi="Times New Roman"/>
                <w:sz w:val="21"/>
                <w:szCs w:val="21"/>
              </w:rPr>
            </w:pPr>
            <w:r>
              <w:rPr>
                <w:rFonts w:ascii="Times New Roman" w:hAnsi="Times New Roman"/>
                <w:sz w:val="21"/>
                <w:szCs w:val="21"/>
              </w:rPr>
              <w:t>-  Perform model inference to retrieve UE location based on the collected data.</w:t>
            </w:r>
          </w:p>
          <w:p>
            <w:pPr>
              <w:adjustRightInd w:val="0"/>
              <w:snapToGrid w:val="0"/>
              <w:spacing w:before="156" w:beforeLines="50" w:after="156" w:afterLines="50" w:line="240" w:lineRule="auto"/>
              <w:rPr>
                <w:rFonts w:ascii="Times New Roman" w:hAnsi="Times New Roman"/>
              </w:rPr>
            </w:pPr>
            <w:r>
              <w:rPr>
                <w:rFonts w:ascii="Times New Roman" w:hAnsi="Times New Roman"/>
              </w:rPr>
              <w:t>NWDAF containing MTLF:</w:t>
            </w:r>
          </w:p>
          <w:p>
            <w:pPr>
              <w:pStyle w:val="96"/>
              <w:snapToGrid w:val="0"/>
              <w:spacing w:before="156" w:beforeLines="50" w:after="156" w:afterLines="50" w:line="240" w:lineRule="auto"/>
              <w:ind w:left="703"/>
              <w:contextualSpacing w:val="0"/>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Collect training data for AI/ML based positioning.</w:t>
            </w:r>
          </w:p>
          <w:p>
            <w:pPr>
              <w:pStyle w:val="96"/>
              <w:snapToGrid w:val="0"/>
              <w:spacing w:before="156" w:beforeLines="50" w:after="156" w:afterLines="50" w:line="240" w:lineRule="auto"/>
              <w:ind w:left="703"/>
              <w:contextualSpacing w:val="0"/>
              <w:rPr>
                <w:rFonts w:ascii="Times New Roman" w:hAnsi="Times New Roman"/>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Train ML model for AI/ML based positioning.</w:t>
            </w:r>
          </w:p>
          <w:p>
            <w:pPr>
              <w:pStyle w:val="4"/>
              <w:numPr>
                <w:ilvl w:val="0"/>
                <w:numId w:val="0"/>
              </w:numPr>
              <w:snapToGrid w:val="0"/>
              <w:spacing w:before="156" w:beforeLines="50" w:after="156" w:afterLines="50" w:line="240" w:lineRule="auto"/>
              <w:rPr>
                <w:rFonts w:ascii="Times New Roman" w:hAnsi="Times New Roman" w:cs="Arial"/>
                <w:lang w:eastAsia="zh-CN"/>
              </w:rPr>
            </w:pPr>
            <w:r>
              <w:rPr>
                <w:rFonts w:ascii="Times New Roman" w:hAnsi="Times New Roman" w:cs="Arial" w:eastAsiaTheme="minorEastAsia"/>
                <w:b w:val="0"/>
                <w:bCs w:val="0"/>
                <w:sz w:val="21"/>
                <w:szCs w:val="21"/>
                <w:lang w:eastAsia="zh-CN"/>
              </w:rPr>
              <w:t>Solution #2</w:t>
            </w:r>
            <w:r>
              <w:rPr>
                <w:rFonts w:cs="Arial" w:eastAsiaTheme="minorEastAsia"/>
                <w:b w:val="0"/>
                <w:bCs w:val="0"/>
                <w:sz w:val="21"/>
                <w:szCs w:val="21"/>
                <w:lang w:eastAsia="zh-CN"/>
              </w:rPr>
              <w:t>:</w:t>
            </w:r>
          </w:p>
          <w:p>
            <w:pPr>
              <w:pStyle w:val="4"/>
              <w:numPr>
                <w:ilvl w:val="0"/>
                <w:numId w:val="0"/>
              </w:numPr>
              <w:snapToGrid w:val="0"/>
              <w:spacing w:before="156" w:beforeLines="50" w:after="156" w:afterLines="50" w:line="240" w:lineRule="auto"/>
              <w:outlineLvl w:val="2"/>
              <w:rPr>
                <w:rFonts w:cs="Arial"/>
                <w:b w:val="0"/>
                <w:bCs w:val="0"/>
                <w:sz w:val="21"/>
                <w:szCs w:val="21"/>
              </w:rPr>
            </w:pPr>
            <w:r>
              <w:rPr>
                <w:rFonts w:cs="Arial"/>
                <w:b w:val="0"/>
                <w:bCs w:val="0"/>
                <w:sz w:val="21"/>
                <w:szCs w:val="21"/>
              </w:rPr>
              <w:t>6.2.3</w:t>
            </w:r>
            <w:r>
              <w:rPr>
                <w:rFonts w:cs="Arial"/>
                <w:b w:val="0"/>
                <w:bCs w:val="0"/>
                <w:sz w:val="21"/>
                <w:szCs w:val="21"/>
              </w:rPr>
              <w:tab/>
            </w:r>
            <w:r>
              <w:rPr>
                <w:rFonts w:cs="Arial"/>
                <w:b w:val="0"/>
                <w:bCs w:val="0"/>
                <w:sz w:val="21"/>
                <w:szCs w:val="21"/>
              </w:rPr>
              <w:t xml:space="preserve">Impacts on services, entities and interfaces </w:t>
            </w:r>
          </w:p>
          <w:p>
            <w:pPr>
              <w:adjustRightInd w:val="0"/>
              <w:snapToGrid w:val="0"/>
              <w:spacing w:before="50" w:after="50" w:line="240" w:lineRule="auto"/>
              <w:rPr>
                <w:rFonts w:ascii="Times New Roman" w:hAnsi="Times New Roman"/>
                <w:kern w:val="0"/>
                <w:lang w:eastAsia="ja-JP"/>
              </w:rPr>
            </w:pPr>
            <w:r>
              <w:rPr>
                <w:rFonts w:ascii="Times New Roman" w:hAnsi="Times New Roman"/>
                <w:kern w:val="0"/>
                <w:lang w:eastAsia="ja-JP"/>
              </w:rPr>
              <w:t>NWDAF:</w:t>
            </w:r>
          </w:p>
          <w:p>
            <w:pPr>
              <w:pStyle w:val="96"/>
              <w:snapToGrid w:val="0"/>
              <w:spacing w:before="50" w:after="50" w:line="240" w:lineRule="auto"/>
              <w:ind w:left="703"/>
              <w:contextualSpacing w:val="0"/>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Enhance support for model training services to enable AI/ML positioning training and inference at LMF.</w:t>
            </w:r>
          </w:p>
          <w:p>
            <w:pPr>
              <w:adjustRightInd w:val="0"/>
              <w:snapToGrid w:val="0"/>
              <w:spacing w:before="50" w:after="50" w:line="240" w:lineRule="auto"/>
              <w:rPr>
                <w:rFonts w:ascii="Times New Roman" w:hAnsi="Times New Roman"/>
                <w:kern w:val="0"/>
                <w:lang w:eastAsia="ja-JP"/>
              </w:rPr>
            </w:pPr>
            <w:r>
              <w:rPr>
                <w:rFonts w:ascii="Times New Roman" w:hAnsi="Times New Roman"/>
                <w:kern w:val="0"/>
                <w:lang w:eastAsia="ja-JP"/>
              </w:rPr>
              <w:t>LMF:</w:t>
            </w:r>
          </w:p>
          <w:p>
            <w:pPr>
              <w:pStyle w:val="219"/>
              <w:keepLines w:val="0"/>
              <w:snapToGrid w:val="0"/>
              <w:spacing w:before="156" w:beforeLines="50" w:after="156" w:afterLines="50" w:line="240" w:lineRule="auto"/>
              <w:ind w:left="704" w:hanging="284"/>
              <w:rPr>
                <w:rFonts w:ascii="Times New Roman" w:hAnsi="Times New Roman"/>
                <w:lang w:val="en-US" w:eastAsia="zh-CN"/>
              </w:rPr>
            </w:pP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Support for training/inference for AI/ML Direct Positioning and data collection.</w:t>
            </w:r>
          </w:p>
        </w:tc>
      </w:tr>
    </w:tbl>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b/>
          <w:i/>
          <w:lang w:val="en-US" w:eastAsia="zh-CN"/>
        </w:rPr>
        <w:t>Observation 4: SA2 has agreed potential solutions that NWDAF or LMF can train the model for LMF-side model usecases (usecase 3b and 2b).</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For usecase 3b, the model training data is the SRS PDP/DP from multiple TRPs, the data label can be PRU or normal UE’s location.</w:t>
      </w:r>
      <w:r>
        <w:rPr>
          <w:rFonts w:hint="eastAsia" w:ascii="Times New Roman" w:hAnsi="Times New Roman"/>
          <w:lang w:val="en-US" w:eastAsia="zh-CN"/>
        </w:rPr>
        <w:t xml:space="preserve"> </w:t>
      </w:r>
      <w:r>
        <w:rPr>
          <w:rFonts w:ascii="Times New Roman" w:hAnsi="Times New Roman"/>
          <w:lang w:val="en-US" w:eastAsia="zh-CN"/>
        </w:rPr>
        <w:t>One procedure is, LMF can schedule UE/PRUs to perform UL AI positioning, so UE/PRUs send SRS, and LMF can gather the SRS CIR/PDP/DP from multiple TRPs of the UE/PRU, using as AI model input. Since LMF also knows the PRU’s location (or, LMF can also calculate the UE location using legacy LMF-based positioning methods such as GNSS), LMF can use the known UE/PRU location as data label to train the LMF-side AI model.</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For usecase 2b, the model training data is the PRS AI measurement result (e.g., CIR/PDP/DP) of the UE/PRU, and the label can be PRU or normal UE’s location. One monitoring procedure is, LMF can schedule UE/PRUs to perform DL AI positioning, so PRUs receives PRS, and LMF can gather the PRS AI measurement result (e.g., CIR/PDP/DP) of the UE/PRU, using as AI model input. Since LMF also knows the PRU’s location (or, LMF can also calculate the UE location using legacy LMF-based positioning methods such as GNSS), LMF can use the UE/PRU location as label to train the LMF-side AI model.</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10: In AI/ML positioning, for LMF-side model (usecase 3b and usecase 2b), when model training is at LMF or NWDAF side, the following can be considered:</w:t>
      </w:r>
    </w:p>
    <w:p>
      <w:pPr>
        <w:pStyle w:val="69"/>
        <w:numPr>
          <w:ilvl w:val="0"/>
          <w:numId w:val="14"/>
        </w:numPr>
        <w:adjustRightInd w:val="0"/>
        <w:snapToGrid w:val="0"/>
        <w:spacing w:before="156" w:beforeLines="50" w:after="156" w:afterLines="50" w:line="240" w:lineRule="auto"/>
        <w:ind w:firstLineChars="0"/>
        <w:rPr>
          <w:rFonts w:ascii="Times New Roman" w:hAnsi="Times New Roman"/>
          <w:b/>
          <w:i/>
          <w:lang w:val="en-US" w:eastAsia="zh-CN"/>
        </w:rPr>
      </w:pPr>
      <w:r>
        <w:rPr>
          <w:rFonts w:ascii="Times New Roman" w:hAnsi="Times New Roman"/>
          <w:b/>
          <w:i/>
          <w:lang w:val="en-US" w:eastAsia="zh-CN"/>
        </w:rPr>
        <w:t>For usecase 3b, the model training data is the SRS AI measurement result (e.g., CIR/PDP/DP) gathered from multiple TRPs, the data label can be PRU or normal UE’s location.</w:t>
      </w:r>
    </w:p>
    <w:p>
      <w:pPr>
        <w:pStyle w:val="69"/>
        <w:numPr>
          <w:ilvl w:val="0"/>
          <w:numId w:val="14"/>
        </w:numPr>
        <w:adjustRightInd w:val="0"/>
        <w:snapToGrid w:val="0"/>
        <w:spacing w:before="156" w:beforeLines="50" w:after="156" w:afterLines="50" w:line="240" w:lineRule="auto"/>
        <w:ind w:firstLineChars="0"/>
        <w:rPr>
          <w:rFonts w:ascii="Times New Roman" w:hAnsi="Times New Roman"/>
          <w:b/>
          <w:bCs/>
          <w:i/>
          <w:iCs/>
          <w:lang w:val="en-US" w:eastAsia="zh-CN"/>
        </w:rPr>
      </w:pPr>
      <w:r>
        <w:rPr>
          <w:rFonts w:ascii="Times New Roman" w:hAnsi="Times New Roman"/>
          <w:b/>
          <w:i/>
          <w:lang w:val="en-US" w:eastAsia="zh-CN"/>
        </w:rPr>
        <w:t>For usecase 2b, the model training data is the PRS AI measurement result (e.g., CIR/PDP/DP) gathered from the UE/PRU, and the label can be PRU or normal UE’s location.</w:t>
      </w:r>
    </w:p>
    <w:p>
      <w:pPr>
        <w:pStyle w:val="5"/>
        <w:rPr>
          <w:lang w:val="en-US" w:eastAsia="zh-CN"/>
        </w:rPr>
      </w:pPr>
      <w:r>
        <w:rPr>
          <w:rFonts w:hint="eastAsia"/>
          <w:lang w:val="en-US" w:eastAsia="zh-CN"/>
        </w:rPr>
        <w:t>Performance monitoring</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When the AI model is at LMF side, LMF is the most suitable entity to perform the performance monitoring. Performance monitoring needs some data with label to judge whether the inference result is good or bad. This is similar like training data collection, where the procedure also needs to gather multiple data with label. </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To be specific, the LMF-side performance monitoring procedure for usecase 3b and 2b can be: </w:t>
      </w:r>
    </w:p>
    <w:p>
      <w:pPr>
        <w:pStyle w:val="69"/>
        <w:numPr>
          <w:ilvl w:val="0"/>
          <w:numId w:val="15"/>
        </w:numPr>
        <w:adjustRightInd w:val="0"/>
        <w:snapToGrid w:val="0"/>
        <w:spacing w:before="156" w:beforeLines="50" w:after="156" w:afterLines="50" w:line="240" w:lineRule="auto"/>
        <w:ind w:firstLineChars="0"/>
        <w:rPr>
          <w:rFonts w:ascii="Times New Roman" w:hAnsi="Times New Roman"/>
          <w:lang w:val="en-US" w:eastAsia="zh-CN"/>
        </w:rPr>
      </w:pPr>
      <w:r>
        <w:rPr>
          <w:rFonts w:ascii="Times New Roman" w:hAnsi="Times New Roman"/>
          <w:lang w:val="en-US" w:eastAsia="zh-CN"/>
        </w:rPr>
        <w:t xml:space="preserve">For usecase 3b, LMF can schedule UE/PRUs to perform UL AI positioning, so UE/PRUs send SRS, and LMF can gather the SRS CIR/PDP/DP from multiple TRPs of each UE/PRU, using as AI model input. LMF use AI model to get AI output which is the estimated UE/PRU location. Since LMF also knows the PRU’s location (or, LMF can also calculate the UE location using legacy LMF-based positioning methods such as GNSS), LMF can compare the known UE/PRU location and the AI output estimated UE/PRU location for performance monitoring. </w:t>
      </w:r>
    </w:p>
    <w:p>
      <w:pPr>
        <w:pStyle w:val="69"/>
        <w:numPr>
          <w:ilvl w:val="0"/>
          <w:numId w:val="15"/>
        </w:numPr>
        <w:adjustRightInd w:val="0"/>
        <w:snapToGrid w:val="0"/>
        <w:spacing w:before="156" w:beforeLines="50" w:after="156" w:afterLines="50" w:line="240" w:lineRule="auto"/>
        <w:ind w:firstLineChars="0"/>
        <w:rPr>
          <w:rFonts w:ascii="Times New Roman" w:hAnsi="Times New Roman"/>
          <w:lang w:val="en-US" w:eastAsia="zh-CN"/>
        </w:rPr>
      </w:pPr>
      <w:r>
        <w:rPr>
          <w:rFonts w:ascii="Times New Roman" w:hAnsi="Times New Roman"/>
          <w:lang w:val="en-US" w:eastAsia="zh-CN"/>
        </w:rPr>
        <w:t xml:space="preserve">For usecase 2b, LMF can schedule UE/PRUs to perform DL AI positioning, so UE/PRUs receives PRS, and LMF can gather the PRS AI measurement(e.g., CIR/PDP/DP) from multiple UE/PRUs, using as AI model input. LMF use AI model to get AI output which is the estimated UE/PRU location. Since LMF also knows the PRU’s location (or, LMF can also calculate the UE location using legacy LMF-based positioning methods such as GNSS), LMF can compare the known UE/PRU location and the AI output estimated UE/PRU location for performance monitoring. </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Since it is LMF-based model, RAN2 should send LS to SA2 to notify them when the agreement is made by RAN2.</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11: In AI/ML positioning, for LMF-side model (usecase 3b and usecase 2b), RAN2 to support LMF perform performance monitoring. RAN2 to consider the following procedures:</w:t>
      </w:r>
    </w:p>
    <w:p>
      <w:pPr>
        <w:pStyle w:val="69"/>
        <w:numPr>
          <w:ilvl w:val="0"/>
          <w:numId w:val="16"/>
        </w:numPr>
        <w:adjustRightInd w:val="0"/>
        <w:snapToGrid w:val="0"/>
        <w:spacing w:before="156" w:beforeLines="50" w:after="156" w:afterLines="50" w:line="240" w:lineRule="auto"/>
        <w:ind w:firstLineChars="0"/>
        <w:rPr>
          <w:rFonts w:ascii="Times New Roman" w:hAnsi="Times New Roman"/>
          <w:b/>
          <w:bCs/>
          <w:i/>
          <w:iCs/>
          <w:lang w:val="en-US" w:eastAsia="zh-CN"/>
        </w:rPr>
      </w:pPr>
      <w:r>
        <w:rPr>
          <w:rFonts w:ascii="Times New Roman" w:hAnsi="Times New Roman"/>
          <w:b/>
          <w:bCs/>
          <w:i/>
          <w:iCs/>
          <w:lang w:val="en-US" w:eastAsia="zh-CN"/>
        </w:rPr>
        <w:t>For usecase 3b, LMF can schedule UE/PRUs to perform UL AI positioning, using the SRS CIR/PDP/DP from multiple TRPs of each UE/PRU as model input, and using the known UE/PRU location as data label.</w:t>
      </w:r>
    </w:p>
    <w:p>
      <w:pPr>
        <w:pStyle w:val="69"/>
        <w:numPr>
          <w:ilvl w:val="0"/>
          <w:numId w:val="16"/>
        </w:numPr>
        <w:adjustRightInd w:val="0"/>
        <w:snapToGrid w:val="0"/>
        <w:spacing w:before="156" w:beforeLines="50" w:after="156" w:afterLines="50" w:line="240" w:lineRule="auto"/>
        <w:ind w:firstLineChars="0"/>
        <w:rPr>
          <w:rFonts w:ascii="Times New Roman" w:hAnsi="Times New Roman"/>
          <w:b/>
          <w:bCs/>
          <w:i/>
          <w:iCs/>
          <w:lang w:val="en-US" w:eastAsia="zh-CN"/>
        </w:rPr>
      </w:pPr>
      <w:r>
        <w:rPr>
          <w:rFonts w:ascii="Times New Roman" w:hAnsi="Times New Roman"/>
          <w:b/>
          <w:bCs/>
          <w:i/>
          <w:iCs/>
          <w:lang w:val="en-US" w:eastAsia="zh-CN"/>
        </w:rPr>
        <w:t>For usecase 2b</w:t>
      </w:r>
      <w:r>
        <w:rPr>
          <w:rFonts w:hint="eastAsia" w:ascii="Times New Roman" w:hAnsi="Times New Roman"/>
          <w:b/>
          <w:bCs/>
          <w:i/>
          <w:iCs/>
          <w:lang w:val="en-US" w:eastAsia="zh-CN"/>
        </w:rPr>
        <w:t xml:space="preserve">, </w:t>
      </w:r>
      <w:r>
        <w:rPr>
          <w:rFonts w:ascii="Times New Roman" w:hAnsi="Times New Roman"/>
          <w:b/>
          <w:bCs/>
          <w:i/>
          <w:iCs/>
          <w:lang w:val="en-US" w:eastAsia="zh-CN"/>
        </w:rPr>
        <w:t>LMF can schedule UE/PRUs to perform DL AI positioning, using the PRS CIR/PDP/DP from multiple UE/PRUs as model input, and using the known UE/PRU location as data label.</w:t>
      </w:r>
    </w:p>
    <w:p>
      <w:pPr>
        <w:adjustRightInd w:val="0"/>
        <w:snapToGrid w:val="0"/>
        <w:spacing w:before="156" w:beforeLines="50" w:after="156" w:afterLines="50" w:line="240" w:lineRule="auto"/>
        <w:ind w:left="420"/>
        <w:rPr>
          <w:rFonts w:ascii="Times New Roman" w:hAnsi="Times New Roman"/>
          <w:b/>
          <w:bCs/>
          <w:i/>
          <w:iCs/>
          <w:lang w:val="en-US" w:eastAsia="zh-CN"/>
        </w:rPr>
      </w:pPr>
      <w:r>
        <w:rPr>
          <w:rFonts w:ascii="Times New Roman" w:hAnsi="Times New Roman"/>
          <w:b/>
          <w:bCs/>
          <w:i/>
          <w:iCs/>
          <w:lang w:val="en-US" w:eastAsia="zh-CN"/>
        </w:rPr>
        <w:t>Send LS to SA2 to notify the agreement.</w:t>
      </w:r>
    </w:p>
    <w:p>
      <w:pPr>
        <w:pStyle w:val="4"/>
        <w:rPr>
          <w:i/>
          <w:iCs/>
          <w:lang w:val="en-US" w:eastAsia="zh-CN"/>
        </w:rPr>
      </w:pPr>
      <w:r>
        <w:rPr>
          <w:rFonts w:hint="eastAsia"/>
          <w:lang w:val="en-US" w:eastAsia="zh-CN"/>
        </w:rPr>
        <w:t xml:space="preserve">Summary </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The table gives a summary of recommended entities in training/inference/monitoring phase on usecase 3a, 3b and 2b.</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6"/>
        <w:gridCol w:w="2250"/>
        <w:gridCol w:w="2250"/>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Pr>
          <w:p>
            <w:pPr>
              <w:adjustRightInd w:val="0"/>
              <w:snapToGrid w:val="0"/>
              <w:spacing w:before="156" w:beforeLines="50" w:after="156" w:afterLines="50" w:line="240" w:lineRule="auto"/>
              <w:jc w:val="center"/>
              <w:rPr>
                <w:rFonts w:ascii="Times New Roman" w:hAnsi="Times New Roman"/>
                <w:lang w:val="en-US" w:eastAsia="zh-CN"/>
              </w:rPr>
            </w:pPr>
          </w:p>
        </w:tc>
        <w:tc>
          <w:tcPr>
            <w:tcW w:w="2250" w:type="dxa"/>
          </w:tcPr>
          <w:p>
            <w:pPr>
              <w:adjustRightInd w:val="0"/>
              <w:snapToGrid w:val="0"/>
              <w:spacing w:before="156" w:beforeLines="50" w:after="156" w:afterLines="50" w:line="240" w:lineRule="auto"/>
              <w:jc w:val="center"/>
              <w:rPr>
                <w:rFonts w:ascii="Times New Roman" w:hAnsi="Times New Roman"/>
                <w:lang w:val="en-US" w:eastAsia="zh-CN"/>
              </w:rPr>
            </w:pPr>
            <w:r>
              <w:rPr>
                <w:rFonts w:hint="eastAsia" w:ascii="Times New Roman" w:hAnsi="Times New Roman"/>
                <w:lang w:val="en-US" w:eastAsia="zh-CN"/>
              </w:rPr>
              <w:t>gNB side model</w:t>
            </w:r>
          </w:p>
        </w:tc>
        <w:tc>
          <w:tcPr>
            <w:tcW w:w="4500" w:type="dxa"/>
            <w:gridSpan w:val="2"/>
          </w:tcPr>
          <w:p>
            <w:pPr>
              <w:adjustRightInd w:val="0"/>
              <w:snapToGrid w:val="0"/>
              <w:spacing w:before="156" w:beforeLines="50" w:after="156" w:afterLines="50" w:line="240" w:lineRule="auto"/>
              <w:jc w:val="center"/>
              <w:rPr>
                <w:rFonts w:ascii="Times New Roman" w:hAnsi="Times New Roman"/>
                <w:lang w:val="en-US" w:eastAsia="zh-CN"/>
              </w:rPr>
            </w:pPr>
            <w:r>
              <w:rPr>
                <w:rFonts w:hint="eastAsia" w:ascii="Times New Roman" w:hAnsi="Times New Roman"/>
                <w:lang w:val="en-US" w:eastAsia="zh-CN"/>
              </w:rPr>
              <w:t>LMF side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Pr>
          <w:p>
            <w:pPr>
              <w:adjustRightInd w:val="0"/>
              <w:snapToGrid w:val="0"/>
              <w:spacing w:before="156" w:beforeLines="50" w:after="156" w:afterLines="50" w:line="240" w:lineRule="auto"/>
              <w:jc w:val="center"/>
              <w:rPr>
                <w:rFonts w:ascii="Times New Roman" w:hAnsi="Times New Roman"/>
                <w:lang w:val="en-US" w:eastAsia="zh-CN"/>
              </w:rPr>
            </w:pPr>
          </w:p>
        </w:tc>
        <w:tc>
          <w:tcPr>
            <w:tcW w:w="2250"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Usecase 3a</w:t>
            </w:r>
          </w:p>
        </w:tc>
        <w:tc>
          <w:tcPr>
            <w:tcW w:w="2250"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Usecase 3b</w:t>
            </w:r>
          </w:p>
        </w:tc>
        <w:tc>
          <w:tcPr>
            <w:tcW w:w="2250"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Usecase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training entity</w:t>
            </w:r>
          </w:p>
        </w:tc>
        <w:tc>
          <w:tcPr>
            <w:tcW w:w="2250"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gNB or OAM</w:t>
            </w:r>
          </w:p>
        </w:tc>
        <w:tc>
          <w:tcPr>
            <w:tcW w:w="2250"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LMF</w:t>
            </w:r>
          </w:p>
        </w:tc>
        <w:tc>
          <w:tcPr>
            <w:tcW w:w="2250"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Inference entity</w:t>
            </w:r>
          </w:p>
        </w:tc>
        <w:tc>
          <w:tcPr>
            <w:tcW w:w="2250"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gNB</w:t>
            </w:r>
          </w:p>
        </w:tc>
        <w:tc>
          <w:tcPr>
            <w:tcW w:w="2250"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LMF</w:t>
            </w:r>
          </w:p>
        </w:tc>
        <w:tc>
          <w:tcPr>
            <w:tcW w:w="2250"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Monitoring entity</w:t>
            </w:r>
          </w:p>
        </w:tc>
        <w:tc>
          <w:tcPr>
            <w:tcW w:w="2250"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gNB or LMF</w:t>
            </w:r>
          </w:p>
        </w:tc>
        <w:tc>
          <w:tcPr>
            <w:tcW w:w="2250"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LMF</w:t>
            </w:r>
          </w:p>
        </w:tc>
        <w:tc>
          <w:tcPr>
            <w:tcW w:w="2250" w:type="dxa"/>
          </w:tcPr>
          <w:p>
            <w:pPr>
              <w:adjustRightInd w:val="0"/>
              <w:snapToGrid w:val="0"/>
              <w:spacing w:before="156" w:beforeLines="50" w:after="156" w:afterLines="50" w:line="240" w:lineRule="auto"/>
              <w:jc w:val="center"/>
              <w:rPr>
                <w:rFonts w:ascii="Times New Roman" w:hAnsi="Times New Roman"/>
                <w:lang w:val="en-US" w:eastAsia="zh-CN"/>
              </w:rPr>
            </w:pPr>
            <w:r>
              <w:rPr>
                <w:rFonts w:ascii="Times New Roman" w:hAnsi="Times New Roman"/>
                <w:lang w:val="en-US" w:eastAsia="zh-CN"/>
              </w:rPr>
              <w:t>LMF</w:t>
            </w:r>
          </w:p>
        </w:tc>
      </w:tr>
    </w:tbl>
    <w:p>
      <w:pPr>
        <w:pStyle w:val="3"/>
        <w:rPr>
          <w:lang w:val="en-US" w:eastAsia="zh-CN"/>
        </w:rPr>
      </w:pPr>
      <w:r>
        <w:rPr>
          <w:lang w:val="en-US" w:eastAsia="zh-CN"/>
        </w:rPr>
        <w:t>AI/ML based beam management</w:t>
      </w:r>
    </w:p>
    <w:p>
      <w:pPr>
        <w:pStyle w:val="4"/>
        <w:rPr>
          <w:lang w:val="en-US" w:eastAsia="zh-CN"/>
        </w:rPr>
      </w:pPr>
      <w:r>
        <w:rPr>
          <w:lang w:val="en-US" w:eastAsia="zh-CN"/>
        </w:rPr>
        <w:t>gNB-side model</w:t>
      </w:r>
    </w:p>
    <w:p>
      <w:pPr>
        <w:pStyle w:val="292"/>
        <w:adjustRightInd w:val="0"/>
        <w:snapToGrid w:val="0"/>
        <w:spacing w:before="156" w:beforeLines="50" w:beforeAutospacing="0" w:after="156" w:afterLines="50" w:line="240" w:lineRule="auto"/>
        <w:ind w:firstLine="0" w:firstLineChars="0"/>
        <w:rPr>
          <w:rFonts w:ascii="Times New Roman" w:hAnsi="Times New Roman"/>
          <w:bCs/>
          <w:sz w:val="20"/>
          <w:szCs w:val="20"/>
        </w:rPr>
      </w:pPr>
      <w:r>
        <w:rPr>
          <w:rFonts w:ascii="Times New Roman" w:hAnsi="Times New Roman"/>
          <w:bCs/>
          <w:sz w:val="20"/>
          <w:szCs w:val="20"/>
        </w:rPr>
        <w:t>According to the following description in the TR 38.843, the NW side model training for AI/ML beam management may be located at gNB, OAM, OTT server, Core Network.</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Borders>
              <w:top w:val="single" w:color="auto" w:sz="4" w:space="0"/>
              <w:left w:val="single" w:color="auto" w:sz="4" w:space="0"/>
              <w:bottom w:val="single" w:color="auto" w:sz="4" w:space="0"/>
              <w:right w:val="single" w:color="auto" w:sz="4" w:space="0"/>
            </w:tcBorders>
          </w:tcPr>
          <w:p>
            <w:pPr>
              <w:pStyle w:val="292"/>
              <w:numPr>
                <w:ilvl w:val="0"/>
                <w:numId w:val="17"/>
              </w:numPr>
              <w:adjustRightInd w:val="0"/>
              <w:snapToGrid w:val="0"/>
              <w:spacing w:before="50" w:beforeAutospacing="0" w:after="50" w:line="240" w:lineRule="auto"/>
              <w:ind w:left="566" w:leftChars="82" w:hanging="394" w:hangingChars="188"/>
              <w:rPr>
                <w:rFonts w:ascii="Times New Roman" w:hAnsi="Times New Roman"/>
              </w:rPr>
            </w:pPr>
            <w:r>
              <w:rPr>
                <w:rFonts w:ascii="Times New Roman" w:hAnsi="Times New Roman"/>
              </w:rPr>
              <w:t>Model Training:</w:t>
            </w:r>
          </w:p>
          <w:p>
            <w:pPr>
              <w:pStyle w:val="292"/>
              <w:numPr>
                <w:ilvl w:val="1"/>
                <w:numId w:val="17"/>
              </w:numPr>
              <w:adjustRightInd w:val="0"/>
              <w:snapToGrid w:val="0"/>
              <w:spacing w:before="50" w:beforeAutospacing="0" w:after="50" w:line="240" w:lineRule="auto"/>
              <w:ind w:left="737" w:leftChars="351" w:firstLine="1" w:firstLineChars="0"/>
              <w:rPr>
                <w:rFonts w:ascii="Times New Roman" w:hAnsi="Times New Roman"/>
              </w:rPr>
            </w:pPr>
            <w:r>
              <w:rPr>
                <w:rFonts w:ascii="Times New Roman" w:hAnsi="Times New Roman"/>
              </w:rPr>
              <w:t>For UE-side models, training data can be generated by the UE, while the termination point for training data may include the UE or a UE-side OTT server.</w:t>
            </w:r>
          </w:p>
          <w:p>
            <w:pPr>
              <w:pStyle w:val="292"/>
              <w:numPr>
                <w:ilvl w:val="2"/>
                <w:numId w:val="17"/>
              </w:numPr>
              <w:adjustRightInd w:val="0"/>
              <w:snapToGrid w:val="0"/>
              <w:spacing w:before="50" w:beforeAutospacing="0" w:after="50" w:line="240" w:lineRule="auto"/>
              <w:ind w:left="1163" w:firstLine="283" w:firstLineChars="135"/>
              <w:rPr>
                <w:rFonts w:ascii="Times New Roman" w:hAnsi="Times New Roman"/>
              </w:rPr>
            </w:pPr>
            <w:r>
              <w:rPr>
                <w:rFonts w:ascii="Times New Roman" w:hAnsi="Times New Roman"/>
              </w:rPr>
              <w:t xml:space="preserve">Note: RAN2 identified the cases in which OAM or Core Network may be used for UE-side model training. However, no study was conducted since this is beyond the scope of this Working Group. </w:t>
            </w:r>
          </w:p>
          <w:p>
            <w:pPr>
              <w:pStyle w:val="292"/>
              <w:numPr>
                <w:ilvl w:val="2"/>
                <w:numId w:val="17"/>
              </w:numPr>
              <w:adjustRightInd w:val="0"/>
              <w:snapToGrid w:val="0"/>
              <w:spacing w:before="50" w:beforeAutospacing="0" w:after="50" w:line="240" w:lineRule="auto"/>
              <w:ind w:left="1163" w:firstLine="283" w:firstLineChars="135"/>
              <w:rPr>
                <w:rFonts w:ascii="Times New Roman" w:hAnsi="Times New Roman"/>
              </w:rPr>
            </w:pPr>
            <w:r>
              <w:rPr>
                <w:rFonts w:ascii="Times New Roman" w:hAnsi="Times New Roman"/>
              </w:rPr>
              <w:t>Note: RAN2 identified the case in which gNB may be used for UE-side model training. However, no conclusion was reached, as this depends on the RAN1 progress.</w:t>
            </w:r>
          </w:p>
          <w:p>
            <w:pPr>
              <w:pStyle w:val="292"/>
              <w:numPr>
                <w:ilvl w:val="1"/>
                <w:numId w:val="17"/>
              </w:numPr>
              <w:adjustRightInd w:val="0"/>
              <w:snapToGrid w:val="0"/>
              <w:spacing w:before="50" w:beforeAutospacing="0" w:after="50" w:line="240" w:lineRule="auto"/>
              <w:ind w:left="737" w:leftChars="351" w:firstLine="1" w:firstLineChars="0"/>
              <w:rPr>
                <w:rFonts w:ascii="Times New Roman" w:hAnsi="Times New Roman"/>
              </w:rPr>
            </w:pPr>
            <w:r>
              <w:rPr>
                <w:rFonts w:ascii="Times New Roman" w:hAnsi="Times New Roman"/>
              </w:rPr>
              <w:t xml:space="preserve">For gNB-side models, training data can be generated by the gNB or UE, while the termination point for training data may include the </w:t>
            </w:r>
            <w:r>
              <w:rPr>
                <w:rFonts w:ascii="Times New Roman" w:hAnsi="Times New Roman"/>
                <w:highlight w:val="yellow"/>
              </w:rPr>
              <w:t>gNB, or OAM</w:t>
            </w:r>
            <w:r>
              <w:rPr>
                <w:rFonts w:ascii="Times New Roman" w:hAnsi="Times New Roman"/>
              </w:rPr>
              <w:t>.</w:t>
            </w:r>
          </w:p>
          <w:p>
            <w:pPr>
              <w:pStyle w:val="292"/>
              <w:numPr>
                <w:ilvl w:val="2"/>
                <w:numId w:val="17"/>
              </w:numPr>
              <w:adjustRightInd w:val="0"/>
              <w:snapToGrid w:val="0"/>
              <w:spacing w:before="50" w:beforeAutospacing="0" w:after="50" w:line="240" w:lineRule="auto"/>
              <w:ind w:left="1163" w:firstLine="283" w:firstLineChars="135"/>
              <w:rPr>
                <w:rFonts w:ascii="Times New Roman" w:hAnsi="Times New Roman"/>
              </w:rPr>
            </w:pPr>
            <w:r>
              <w:rPr>
                <w:rFonts w:ascii="Times New Roman" w:hAnsi="Times New Roman"/>
              </w:rPr>
              <w:t xml:space="preserve">Note: RAN2 identified the case in which </w:t>
            </w:r>
            <w:r>
              <w:rPr>
                <w:rFonts w:ascii="Times New Roman" w:hAnsi="Times New Roman"/>
                <w:highlight w:val="yellow"/>
              </w:rPr>
              <w:t>OTT server</w:t>
            </w:r>
            <w:r>
              <w:rPr>
                <w:rFonts w:ascii="Times New Roman" w:hAnsi="Times New Roman"/>
              </w:rPr>
              <w:t xml:space="preserve"> and </w:t>
            </w:r>
            <w:r>
              <w:rPr>
                <w:rFonts w:ascii="Times New Roman" w:hAnsi="Times New Roman"/>
                <w:highlight w:val="yellow"/>
              </w:rPr>
              <w:t>Core Network</w:t>
            </w:r>
            <w:r>
              <w:rPr>
                <w:rFonts w:ascii="Times New Roman" w:hAnsi="Times New Roman"/>
              </w:rPr>
              <w:t xml:space="preserve"> may be used for gNB-side model training. However, no study was conducted since this is beyond the scope of this Working Group.</w:t>
            </w:r>
          </w:p>
        </w:tc>
      </w:tr>
    </w:tbl>
    <w:p>
      <w:pPr>
        <w:pStyle w:val="292"/>
        <w:adjustRightInd w:val="0"/>
        <w:snapToGrid w:val="0"/>
        <w:spacing w:before="156" w:beforeLines="50" w:beforeAutospacing="0" w:after="156" w:afterLines="50" w:line="240" w:lineRule="auto"/>
        <w:ind w:firstLine="0" w:firstLineChars="0"/>
        <w:rPr>
          <w:rFonts w:ascii="Times New Roman" w:hAnsi="Times New Roman"/>
          <w:bCs/>
          <w:sz w:val="20"/>
          <w:szCs w:val="20"/>
        </w:rPr>
      </w:pPr>
      <w:r>
        <w:rPr>
          <w:rFonts w:ascii="Times New Roman" w:hAnsi="Times New Roman"/>
          <w:bCs/>
          <w:sz w:val="20"/>
          <w:szCs w:val="20"/>
        </w:rPr>
        <w:t>CN have no ability to understand the RAN layer data, besides, the training data shall be forwarded from gNB to the CN which may lead to the heavy workload on the north interface. Therefore, CN is not appropriate to be the entity for model training.</w:t>
      </w:r>
    </w:p>
    <w:p>
      <w:pPr>
        <w:pStyle w:val="292"/>
        <w:adjustRightInd w:val="0"/>
        <w:snapToGrid w:val="0"/>
        <w:spacing w:before="156" w:beforeLines="50" w:beforeAutospacing="0" w:after="156" w:afterLines="50" w:line="240" w:lineRule="auto"/>
        <w:ind w:firstLine="0" w:firstLineChars="0"/>
        <w:rPr>
          <w:rFonts w:ascii="Times New Roman" w:hAnsi="Times New Roman"/>
          <w:bCs/>
          <w:sz w:val="20"/>
          <w:szCs w:val="20"/>
        </w:rPr>
      </w:pPr>
      <w:r>
        <w:rPr>
          <w:rFonts w:ascii="Times New Roman" w:hAnsi="Times New Roman"/>
          <w:bCs/>
          <w:sz w:val="20"/>
          <w:szCs w:val="20"/>
        </w:rPr>
        <w:t>As for OTT server, the model trained by the UE vendor is mostly not suitable to be deployed by the platform of the network. Furthermore, the NW can collect much more data than UE vendor, and the models trained by the gNB have more generalization than the model training by UE side since the gNB is static but the UE is moving here and there. In this sense, we propose:</w:t>
      </w:r>
    </w:p>
    <w:p>
      <w:pPr>
        <w:pStyle w:val="292"/>
        <w:adjustRightInd w:val="0"/>
        <w:snapToGrid w:val="0"/>
        <w:spacing w:before="156" w:beforeLines="50" w:beforeAutospacing="0" w:after="156" w:afterLines="50" w:line="240" w:lineRule="auto"/>
        <w:ind w:firstLine="0" w:firstLineChars="0"/>
        <w:rPr>
          <w:rFonts w:ascii="Times New Roman" w:hAnsi="Times New Roman"/>
          <w:bCs/>
          <w:sz w:val="20"/>
          <w:szCs w:val="20"/>
        </w:rPr>
      </w:pPr>
      <w:r>
        <w:rPr>
          <w:rFonts w:ascii="Times New Roman" w:hAnsi="Times New Roman"/>
          <w:b/>
          <w:bCs/>
          <w:i/>
          <w:iCs/>
        </w:rPr>
        <w:t>Proposal 12: For AI/ML based beam management, RAN2 confirms the entity used for training the NW-side AI/ML model only can be OAM or gNB, CN and OTT server is excluded.</w:t>
      </w:r>
    </w:p>
    <w:p>
      <w:pPr>
        <w:pStyle w:val="292"/>
        <w:adjustRightInd w:val="0"/>
        <w:snapToGrid w:val="0"/>
        <w:spacing w:before="156" w:beforeLines="50" w:beforeAutospacing="0" w:after="156" w:afterLines="50" w:line="240" w:lineRule="auto"/>
        <w:ind w:firstLine="0" w:firstLineChars="0"/>
        <w:rPr>
          <w:rFonts w:ascii="Times New Roman" w:hAnsi="Times New Roman"/>
          <w:bCs/>
          <w:sz w:val="20"/>
          <w:szCs w:val="20"/>
        </w:rPr>
      </w:pPr>
      <w:r>
        <w:rPr>
          <w:rFonts w:ascii="Times New Roman" w:hAnsi="Times New Roman"/>
          <w:bCs/>
          <w:sz w:val="20"/>
          <w:szCs w:val="20"/>
        </w:rPr>
        <w:t>Regarding the functionality/model inference of NW side AI/ML functionality/model, the description of TR is shown as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Borders>
              <w:top w:val="single" w:color="auto" w:sz="4" w:space="0"/>
              <w:left w:val="single" w:color="auto" w:sz="4" w:space="0"/>
              <w:bottom w:val="single" w:color="auto" w:sz="4" w:space="0"/>
              <w:right w:val="single" w:color="auto" w:sz="4" w:space="0"/>
            </w:tcBorders>
          </w:tcPr>
          <w:p>
            <w:pPr>
              <w:pStyle w:val="292"/>
              <w:numPr>
                <w:ilvl w:val="0"/>
                <w:numId w:val="17"/>
              </w:numPr>
              <w:adjustRightInd w:val="0"/>
              <w:snapToGrid w:val="0"/>
              <w:spacing w:before="50" w:beforeAutospacing="0" w:after="50" w:line="240" w:lineRule="auto"/>
              <w:ind w:left="567" w:leftChars="150" w:hanging="252" w:hangingChars="120"/>
              <w:rPr>
                <w:rFonts w:ascii="Times New Roman" w:hAnsi="Times New Roman"/>
              </w:rPr>
            </w:pPr>
            <w:r>
              <w:rPr>
                <w:rFonts w:ascii="Times New Roman" w:hAnsi="Times New Roman"/>
              </w:rPr>
              <w:t>Inference:</w:t>
            </w:r>
          </w:p>
          <w:p>
            <w:pPr>
              <w:pStyle w:val="292"/>
              <w:numPr>
                <w:ilvl w:val="1"/>
                <w:numId w:val="17"/>
              </w:numPr>
              <w:adjustRightInd w:val="0"/>
              <w:snapToGrid w:val="0"/>
              <w:spacing w:before="50" w:beforeAutospacing="0" w:after="50" w:line="240" w:lineRule="auto"/>
              <w:ind w:left="454" w:leftChars="216" w:firstLine="420"/>
              <w:rPr>
                <w:rFonts w:ascii="Times New Roman" w:hAnsi="Times New Roman"/>
              </w:rPr>
            </w:pPr>
            <w:r>
              <w:rPr>
                <w:rFonts w:ascii="Times New Roman" w:hAnsi="Times New Roman"/>
              </w:rPr>
              <w:t>For UE-side model inference, input data is internally available at UE, where the inference process is performed.</w:t>
            </w:r>
          </w:p>
          <w:p>
            <w:pPr>
              <w:pStyle w:val="292"/>
              <w:numPr>
                <w:ilvl w:val="1"/>
                <w:numId w:val="17"/>
              </w:numPr>
              <w:adjustRightInd w:val="0"/>
              <w:snapToGrid w:val="0"/>
              <w:spacing w:before="50" w:beforeAutospacing="0" w:after="50" w:line="240" w:lineRule="auto"/>
              <w:ind w:left="454" w:leftChars="216" w:firstLine="420"/>
              <w:rPr>
                <w:rFonts w:ascii="Times New Roman" w:hAnsi="Times New Roman"/>
                <w:bCs/>
                <w:sz w:val="20"/>
                <w:szCs w:val="20"/>
              </w:rPr>
            </w:pPr>
            <w:r>
              <w:rPr>
                <w:rFonts w:ascii="Times New Roman" w:hAnsi="Times New Roman"/>
                <w:highlight w:val="yellow"/>
              </w:rPr>
              <w:t>For network-side model inference, the UE can generate the necessary input data while the termination point for this input data lies within the gNB,</w:t>
            </w:r>
            <w:r>
              <w:rPr>
                <w:rFonts w:ascii="Times New Roman" w:hAnsi="Times New Roman"/>
              </w:rPr>
              <w:t xml:space="preserve"> where the inference process is performed.</w:t>
            </w:r>
          </w:p>
        </w:tc>
      </w:tr>
    </w:tbl>
    <w:p>
      <w:pPr>
        <w:pStyle w:val="292"/>
        <w:adjustRightInd w:val="0"/>
        <w:snapToGrid w:val="0"/>
        <w:spacing w:before="156" w:beforeLines="50" w:beforeAutospacing="0" w:after="156" w:afterLines="50" w:line="240" w:lineRule="auto"/>
        <w:ind w:firstLine="0" w:firstLineChars="0"/>
        <w:rPr>
          <w:rFonts w:ascii="Times New Roman" w:hAnsi="Times New Roman"/>
          <w:bCs/>
          <w:sz w:val="20"/>
          <w:szCs w:val="20"/>
        </w:rPr>
      </w:pPr>
      <w:r>
        <w:rPr>
          <w:rFonts w:ascii="Times New Roman" w:hAnsi="Times New Roman"/>
          <w:bCs/>
          <w:sz w:val="20"/>
          <w:szCs w:val="20"/>
        </w:rPr>
        <w:t>According to above description, it can be seen that the entity in charge of the functionality/model inference must be the gNB. And for providing the input data of the NW side AI/ML model from UE side, the measurement and reporting framework shall be utilized, considering the feature is beam management, the L1 measurement framework will fit in. And for beam management according to the output of the functionality/model inference,  the legacy beam management can be reused, for example, the TCI state MAC CE and DCI to adjust the UL/DL beam of the UE.</w:t>
      </w:r>
    </w:p>
    <w:p>
      <w:pPr>
        <w:pStyle w:val="292"/>
        <w:adjustRightInd w:val="0"/>
        <w:snapToGrid w:val="0"/>
        <w:spacing w:before="156" w:beforeLines="50" w:beforeAutospacing="0" w:after="156" w:afterLines="50" w:line="240" w:lineRule="auto"/>
        <w:ind w:firstLine="0" w:firstLineChars="0"/>
        <w:rPr>
          <w:rFonts w:ascii="Times New Roman" w:hAnsi="Times New Roman"/>
          <w:b/>
          <w:bCs/>
          <w:i/>
          <w:iCs/>
        </w:rPr>
      </w:pPr>
      <w:r>
        <w:rPr>
          <w:rFonts w:ascii="Times New Roman" w:hAnsi="Times New Roman"/>
          <w:b/>
          <w:bCs/>
          <w:i/>
          <w:iCs/>
        </w:rPr>
        <w:t>Proposal 13: For AI/ML based beam management, RAN2 assumes the L1 measurement framework shall be used for configuring the input data of the NW side AI/ML model inference, and the legacy beam management can be reused for adjusting the UE’s UL/DL beams according to the output of the NW side AI/ML model inference.</w:t>
      </w:r>
    </w:p>
    <w:p>
      <w:pPr>
        <w:pStyle w:val="292"/>
        <w:adjustRightInd w:val="0"/>
        <w:snapToGrid w:val="0"/>
        <w:spacing w:before="156" w:beforeLines="50" w:beforeAutospacing="0" w:after="156" w:afterLines="50" w:line="240" w:lineRule="auto"/>
        <w:ind w:firstLine="0" w:firstLineChars="0"/>
        <w:rPr>
          <w:rFonts w:ascii="Times New Roman" w:hAnsi="Times New Roman"/>
          <w:bCs/>
          <w:sz w:val="20"/>
          <w:szCs w:val="20"/>
        </w:rPr>
      </w:pPr>
      <w:r>
        <w:rPr>
          <w:rFonts w:ascii="Times New Roman" w:hAnsi="Times New Roman"/>
          <w:bCs/>
          <w:sz w:val="20"/>
          <w:szCs w:val="20"/>
        </w:rPr>
        <w:t>As for the management, the description of TR is shown as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Borders>
              <w:top w:val="single" w:color="auto" w:sz="4" w:space="0"/>
              <w:left w:val="single" w:color="auto" w:sz="4" w:space="0"/>
              <w:bottom w:val="single" w:color="auto" w:sz="4" w:space="0"/>
              <w:right w:val="single" w:color="auto" w:sz="4" w:space="0"/>
            </w:tcBorders>
          </w:tcPr>
          <w:p>
            <w:pPr>
              <w:pStyle w:val="292"/>
              <w:numPr>
                <w:ilvl w:val="0"/>
                <w:numId w:val="17"/>
              </w:numPr>
              <w:adjustRightInd w:val="0"/>
              <w:snapToGrid w:val="0"/>
              <w:spacing w:before="50" w:beforeAutospacing="0" w:after="50" w:line="240" w:lineRule="auto"/>
              <w:ind w:left="567" w:leftChars="270" w:firstLine="420"/>
              <w:rPr>
                <w:rFonts w:ascii="Times New Roman" w:hAnsi="Times New Roman"/>
              </w:rPr>
            </w:pPr>
            <w:r>
              <w:rPr>
                <w:rFonts w:ascii="Times New Roman" w:hAnsi="Times New Roman"/>
              </w:rPr>
              <w:t>Management:</w:t>
            </w:r>
          </w:p>
          <w:p>
            <w:pPr>
              <w:pStyle w:val="292"/>
              <w:numPr>
                <w:ilvl w:val="1"/>
                <w:numId w:val="17"/>
              </w:numPr>
              <w:adjustRightInd w:val="0"/>
              <w:snapToGrid w:val="0"/>
              <w:spacing w:before="50" w:beforeAutospacing="0" w:after="50" w:line="240" w:lineRule="auto"/>
              <w:ind w:left="420" w:firstLine="420"/>
              <w:rPr>
                <w:rFonts w:ascii="Times New Roman" w:hAnsi="Times New Roman"/>
              </w:rPr>
            </w:pPr>
            <w:r>
              <w:rPr>
                <w:rFonts w:ascii="Times New Roman" w:hAnsi="Times New Roman"/>
              </w:rPr>
              <w:t>For UE-side model, the model/functionality control (e.g., selection, (de)activation, switching, fallback, etc.) may be performed by the UE when the monitoring resides within the UE.</w:t>
            </w:r>
          </w:p>
          <w:p>
            <w:pPr>
              <w:pStyle w:val="292"/>
              <w:numPr>
                <w:ilvl w:val="1"/>
                <w:numId w:val="17"/>
              </w:numPr>
              <w:adjustRightInd w:val="0"/>
              <w:snapToGrid w:val="0"/>
              <w:spacing w:before="50" w:beforeAutospacing="0" w:after="50" w:line="240" w:lineRule="auto"/>
              <w:ind w:left="420" w:firstLine="420"/>
              <w:rPr>
                <w:rFonts w:ascii="Times New Roman" w:hAnsi="Times New Roman"/>
              </w:rPr>
            </w:pPr>
            <w:r>
              <w:rPr>
                <w:rFonts w:ascii="Times New Roman" w:hAnsi="Times New Roman"/>
              </w:rPr>
              <w:t>For UE-side model, the model/functionality control (e.g., selection, (de)activation, switching, fallback, etc.) may be performed by the gNB when the monitoring resides within the gNB or UE.</w:t>
            </w:r>
          </w:p>
          <w:p>
            <w:pPr>
              <w:pStyle w:val="292"/>
              <w:numPr>
                <w:ilvl w:val="1"/>
                <w:numId w:val="17"/>
              </w:numPr>
              <w:adjustRightInd w:val="0"/>
              <w:snapToGrid w:val="0"/>
              <w:spacing w:before="50" w:beforeAutospacing="0" w:after="50" w:line="240" w:lineRule="auto"/>
              <w:ind w:left="420" w:firstLine="420"/>
              <w:rPr>
                <w:rFonts w:ascii="Times New Roman" w:hAnsi="Times New Roman"/>
              </w:rPr>
            </w:pPr>
            <w:r>
              <w:rPr>
                <w:rFonts w:ascii="Times New Roman" w:hAnsi="Times New Roman"/>
              </w:rPr>
              <w:t>Monitoring:</w:t>
            </w:r>
          </w:p>
          <w:p>
            <w:pPr>
              <w:pStyle w:val="292"/>
              <w:numPr>
                <w:ilvl w:val="2"/>
                <w:numId w:val="17"/>
              </w:numPr>
              <w:adjustRightInd w:val="0"/>
              <w:snapToGrid w:val="0"/>
              <w:spacing w:before="50" w:beforeAutospacing="0" w:after="50" w:line="240" w:lineRule="auto"/>
              <w:ind w:left="420" w:firstLine="420"/>
              <w:rPr>
                <w:rFonts w:ascii="Times New Roman" w:hAnsi="Times New Roman"/>
              </w:rPr>
            </w:pPr>
            <w:r>
              <w:rPr>
                <w:rFonts w:ascii="Times New Roman" w:hAnsi="Times New Roman"/>
              </w:rPr>
              <w:t>The UE monitors the performance of its UE-side model.</w:t>
            </w:r>
          </w:p>
          <w:p>
            <w:pPr>
              <w:pStyle w:val="292"/>
              <w:numPr>
                <w:ilvl w:val="2"/>
                <w:numId w:val="17"/>
              </w:numPr>
              <w:adjustRightInd w:val="0"/>
              <w:snapToGrid w:val="0"/>
              <w:spacing w:before="50" w:beforeAutospacing="0" w:after="50" w:line="240" w:lineRule="auto"/>
              <w:ind w:left="420" w:firstLine="420"/>
              <w:rPr>
                <w:rFonts w:ascii="Times New Roman" w:hAnsi="Times New Roman"/>
              </w:rPr>
            </w:pPr>
            <w:r>
              <w:rPr>
                <w:rFonts w:ascii="Times New Roman" w:hAnsi="Times New Roman"/>
              </w:rPr>
              <w:t>For monitoring at the network side of UE-side model, the UE can generate, if needed, calculated performance metrics or data required for performance metric calculation, while the termination point for these is the gNB.</w:t>
            </w:r>
          </w:p>
          <w:p>
            <w:pPr>
              <w:pStyle w:val="292"/>
              <w:numPr>
                <w:ilvl w:val="2"/>
                <w:numId w:val="17"/>
              </w:numPr>
              <w:adjustRightInd w:val="0"/>
              <w:snapToGrid w:val="0"/>
              <w:spacing w:before="50" w:beforeAutospacing="0" w:after="50" w:line="240" w:lineRule="auto"/>
              <w:ind w:left="420" w:firstLine="420"/>
              <w:rPr>
                <w:rFonts w:ascii="Times New Roman" w:hAnsi="Times New Roman"/>
              </w:rPr>
            </w:pPr>
            <w:r>
              <w:rPr>
                <w:rFonts w:ascii="Times New Roman" w:hAnsi="Times New Roman"/>
                <w:highlight w:val="yellow"/>
              </w:rPr>
              <w:t>For network-side model, the monitoring resides within the gNB.</w:t>
            </w:r>
            <w:r>
              <w:rPr>
                <w:rFonts w:ascii="Times New Roman" w:hAnsi="Times New Roman"/>
              </w:rPr>
              <w:t xml:space="preserve"> </w:t>
            </w:r>
          </w:p>
          <w:p>
            <w:pPr>
              <w:pStyle w:val="292"/>
              <w:adjustRightInd w:val="0"/>
              <w:snapToGrid w:val="0"/>
              <w:spacing w:before="156" w:beforeLines="50" w:beforeAutospacing="0" w:after="156" w:afterLines="50" w:line="240" w:lineRule="auto"/>
              <w:ind w:left="420" w:firstLine="400"/>
              <w:rPr>
                <w:rFonts w:ascii="Times New Roman" w:hAnsi="Times New Roman"/>
                <w:bCs/>
                <w:sz w:val="20"/>
                <w:szCs w:val="20"/>
              </w:rPr>
            </w:pPr>
          </w:p>
        </w:tc>
      </w:tr>
    </w:tbl>
    <w:p>
      <w:pPr>
        <w:pStyle w:val="292"/>
        <w:adjustRightInd w:val="0"/>
        <w:snapToGrid w:val="0"/>
        <w:spacing w:before="156" w:beforeLines="50" w:beforeAutospacing="0" w:after="156" w:afterLines="50" w:line="240" w:lineRule="auto"/>
        <w:ind w:firstLine="0" w:firstLineChars="0"/>
        <w:rPr>
          <w:rFonts w:ascii="Times New Roman" w:hAnsi="Times New Roman"/>
        </w:rPr>
      </w:pPr>
      <w:r>
        <w:rPr>
          <w:rFonts w:ascii="Times New Roman" w:hAnsi="Times New Roman"/>
        </w:rPr>
        <w:t>According to the description, only gNB can take charge in the model monitoring, considering the model training is located at either gNB or OAM, and model inference is located at gNB as well, it can be seen that the management can be doen by gNB itself, there is no air-interface specification impact can be foreseen.</w:t>
      </w:r>
    </w:p>
    <w:p>
      <w:pPr>
        <w:pStyle w:val="292"/>
        <w:adjustRightInd w:val="0"/>
        <w:snapToGrid w:val="0"/>
        <w:spacing w:before="156" w:beforeLines="50" w:beforeAutospacing="0" w:after="156" w:afterLines="50" w:line="240" w:lineRule="auto"/>
        <w:ind w:firstLine="0" w:firstLineChars="0"/>
        <w:rPr>
          <w:rFonts w:ascii="Times New Roman" w:hAnsi="Times New Roman"/>
          <w:b/>
          <w:i/>
          <w:iCs/>
          <w:sz w:val="20"/>
          <w:szCs w:val="20"/>
        </w:rPr>
      </w:pPr>
      <w:r>
        <w:rPr>
          <w:rFonts w:ascii="Times New Roman" w:hAnsi="Times New Roman"/>
          <w:b/>
          <w:bCs/>
          <w:i/>
          <w:iCs/>
        </w:rPr>
        <w:t>Proposal 14: For AI/ML based beam management, RAN2 assumes there is no any air-interface specifcation impact from model (funtionality) management.</w:t>
      </w:r>
    </w:p>
    <w:p>
      <w:pPr>
        <w:pStyle w:val="69"/>
        <w:adjustRightInd w:val="0"/>
        <w:snapToGrid w:val="0"/>
        <w:spacing w:before="156" w:beforeLines="50" w:after="156" w:afterLines="50" w:line="240" w:lineRule="auto"/>
        <w:ind w:firstLine="0" w:firstLineChars="0"/>
        <w:rPr>
          <w:rFonts w:ascii="Times New Roman" w:hAnsi="Times New Roman"/>
          <w:b/>
          <w:i/>
          <w:iCs/>
          <w:sz w:val="20"/>
          <w:szCs w:val="20"/>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hint="eastAsia"/>
          <w:sz w:val="28"/>
          <w:szCs w:val="28"/>
          <w:lang w:val="en-US" w:eastAsia="zh-CN"/>
        </w:rPr>
        <w:t xml:space="preserve"> </w:t>
      </w:r>
      <w:r>
        <w:rPr>
          <w:rFonts w:cs="Arial"/>
          <w:kern w:val="0"/>
          <w:sz w:val="28"/>
          <w:szCs w:val="28"/>
        </w:rPr>
        <w:t>Conclusion</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adjustRightInd w:val="0"/>
        <w:snapToGrid w:val="0"/>
        <w:spacing w:before="156" w:beforeLines="50" w:after="156" w:afterLines="50" w:line="240" w:lineRule="auto"/>
        <w:rPr>
          <w:rFonts w:ascii="Times New Roman" w:hAnsi="Times New Roman"/>
          <w:b/>
          <w:bCs/>
          <w:iCs/>
          <w:u w:val="single"/>
          <w:lang w:val="en-US" w:eastAsia="zh-CN"/>
        </w:rPr>
      </w:pPr>
      <w:r>
        <w:rPr>
          <w:rFonts w:ascii="Times New Roman" w:hAnsi="Times New Roman"/>
          <w:b/>
          <w:bCs/>
          <w:iCs/>
          <w:u w:val="single"/>
          <w:lang w:val="en-US" w:eastAsia="zh-CN"/>
        </w:rPr>
        <w:t>AI/ML based positioning</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 xml:space="preserve">Observation 1: Different functionalities can be recognized as different AI usecases, or different AI sub-usecases, or different groups of AI sub-usecases, or different AI sub-usecases plus some conditions. </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Observation 2: In AI/ML positioning, for gNB-side model (usecase 3a), the AI inference is performed at gNB side.</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 xml:space="preserve">Observation 3: In AI/ML positioning, for LMF-side model (usecase 3b and usecase 2b), the AI inference is </w:t>
      </w:r>
      <w:r>
        <w:rPr>
          <w:rFonts w:hint="eastAsia" w:ascii="Times New Roman" w:hAnsi="Times New Roman"/>
          <w:b/>
          <w:bCs/>
          <w:i/>
          <w:iCs/>
          <w:lang w:val="en-US" w:eastAsia="zh-CN"/>
        </w:rPr>
        <w:t>performed</w:t>
      </w:r>
      <w:r>
        <w:rPr>
          <w:rFonts w:ascii="Times New Roman" w:hAnsi="Times New Roman"/>
          <w:b/>
          <w:bCs/>
          <w:i/>
          <w:iCs/>
          <w:lang w:val="en-US" w:eastAsia="zh-CN"/>
        </w:rPr>
        <w:t xml:space="preserve"> at LMF side.</w:t>
      </w:r>
    </w:p>
    <w:p>
      <w:pPr>
        <w:adjustRightInd w:val="0"/>
        <w:snapToGrid w:val="0"/>
        <w:spacing w:before="156" w:beforeLines="50" w:after="156" w:afterLines="50" w:line="240" w:lineRule="auto"/>
        <w:rPr>
          <w:rFonts w:ascii="Times New Roman" w:hAnsi="Times New Roman"/>
          <w:b/>
          <w:i/>
          <w:lang w:val="en-US" w:eastAsia="zh-CN"/>
        </w:rPr>
      </w:pPr>
      <w:r>
        <w:rPr>
          <w:rFonts w:ascii="Times New Roman" w:hAnsi="Times New Roman"/>
          <w:b/>
          <w:i/>
          <w:lang w:val="en-US" w:eastAsia="zh-CN"/>
        </w:rPr>
        <w:t>O</w:t>
      </w:r>
      <w:r>
        <w:rPr>
          <w:rFonts w:hint="eastAsia" w:ascii="Times New Roman" w:hAnsi="Times New Roman"/>
          <w:b/>
          <w:i/>
          <w:lang w:val="en-US" w:eastAsia="zh-CN"/>
        </w:rPr>
        <w:t xml:space="preserve">bservation </w:t>
      </w:r>
      <w:r>
        <w:rPr>
          <w:rFonts w:ascii="Times New Roman" w:hAnsi="Times New Roman"/>
          <w:b/>
          <w:i/>
          <w:lang w:val="en-US" w:eastAsia="zh-CN"/>
        </w:rPr>
        <w:t>4: SA2 has agreed potential solutions that NWDAF or LMF can train the model for LMF-side model usecases (usecase 3b and 2b).</w:t>
      </w:r>
    </w:p>
    <w:p>
      <w:pPr>
        <w:adjustRightInd w:val="0"/>
        <w:snapToGrid w:val="0"/>
        <w:spacing w:before="156" w:beforeLines="50" w:after="156" w:afterLines="50" w:line="240" w:lineRule="auto"/>
        <w:rPr>
          <w:rFonts w:ascii="Times New Roman" w:hAnsi="Times New Roman"/>
          <w:b/>
          <w:bCs/>
          <w:i/>
          <w:iCs/>
          <w:lang w:val="en-US" w:eastAsia="zh-CN"/>
        </w:rPr>
      </w:pP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1: For AI/ML positioning, the functionality can be recognized in following ways:</w:t>
      </w:r>
    </w:p>
    <w:p>
      <w:pPr>
        <w:pStyle w:val="69"/>
        <w:numPr>
          <w:ilvl w:val="0"/>
          <w:numId w:val="9"/>
        </w:numPr>
        <w:adjustRightInd w:val="0"/>
        <w:snapToGrid w:val="0"/>
        <w:spacing w:before="156" w:beforeLines="50" w:after="156" w:afterLines="50" w:line="240" w:lineRule="auto"/>
        <w:ind w:firstLineChars="0"/>
        <w:rPr>
          <w:rFonts w:ascii="Times New Roman" w:hAnsi="Times New Roman"/>
          <w:b/>
          <w:bCs/>
          <w:i/>
          <w:iCs/>
          <w:lang w:val="en-US" w:eastAsia="zh-CN"/>
        </w:rPr>
      </w:pPr>
      <w:r>
        <w:rPr>
          <w:rFonts w:ascii="Times New Roman" w:hAnsi="Times New Roman"/>
          <w:b/>
          <w:bCs/>
          <w:i/>
          <w:iCs/>
          <w:lang w:val="en-US" w:eastAsia="zh-CN"/>
        </w:rPr>
        <w:t>Per usecase, i.e., LCM procedure should be defined per usecase.</w:t>
      </w:r>
    </w:p>
    <w:p>
      <w:pPr>
        <w:pStyle w:val="69"/>
        <w:numPr>
          <w:ilvl w:val="0"/>
          <w:numId w:val="9"/>
        </w:numPr>
        <w:adjustRightInd w:val="0"/>
        <w:snapToGrid w:val="0"/>
        <w:spacing w:before="156" w:beforeLines="50" w:after="156" w:afterLines="50" w:line="240" w:lineRule="auto"/>
        <w:ind w:firstLineChars="0"/>
        <w:rPr>
          <w:rFonts w:ascii="Times New Roman" w:hAnsi="Times New Roman"/>
          <w:b/>
          <w:bCs/>
          <w:i/>
          <w:iCs/>
          <w:lang w:val="en-US" w:eastAsia="zh-CN"/>
        </w:rPr>
      </w:pPr>
      <w:r>
        <w:rPr>
          <w:rFonts w:ascii="Times New Roman" w:hAnsi="Times New Roman"/>
          <w:b/>
          <w:bCs/>
          <w:i/>
          <w:iCs/>
          <w:lang w:val="en-US" w:eastAsia="zh-CN"/>
        </w:rPr>
        <w:t>per UE-side model, gNB-side model and LMF-side model, i.e., LCM procedure should be defined per inference entity.</w:t>
      </w:r>
    </w:p>
    <w:p>
      <w:pPr>
        <w:tabs>
          <w:tab w:val="left" w:pos="432"/>
        </w:tabs>
        <w:adjustRightInd w:val="0"/>
        <w:snapToGrid w:val="0"/>
        <w:spacing w:before="156" w:beforeLines="50" w:after="156" w:afterLines="50" w:line="240" w:lineRule="auto"/>
        <w:rPr>
          <w:rFonts w:ascii="Times New Roman" w:hAnsi="Times New Roman"/>
          <w:i/>
          <w:iCs/>
          <w:lang w:val="en-US" w:eastAsia="zh-CN"/>
        </w:rPr>
      </w:pPr>
      <w:r>
        <w:rPr>
          <w:rFonts w:ascii="Times New Roman" w:hAnsi="Times New Roman"/>
          <w:b/>
          <w:bCs/>
          <w:i/>
          <w:iCs/>
          <w:lang w:val="en-US" w:eastAsia="zh-CN"/>
        </w:rPr>
        <w:t>Proposal 2: For usecase 3a, LMF can schedule serving/neighbor gNBs of the target UE to perform AI positioning and output AI intermediate features via existing NRPPa protocol.</w:t>
      </w:r>
    </w:p>
    <w:p>
      <w:pPr>
        <w:adjustRightInd w:val="0"/>
        <w:snapToGrid w:val="0"/>
        <w:spacing w:before="156" w:beforeLines="50" w:after="156" w:afterLines="50" w:line="240" w:lineRule="auto"/>
        <w:rPr>
          <w:rFonts w:ascii="Times New Roman" w:hAnsi="Times New Roman"/>
          <w:b/>
          <w:bCs/>
          <w:i/>
          <w:iCs/>
          <w:lang w:val="en-US" w:eastAsia="zh-CN"/>
        </w:rPr>
      </w:pP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3: In AI/ML positioning for gNB-side model (usecase 3a), OAM or gNB should perform model training.</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4: Send LS to SA2 to ask whether LMF can perform the model training for gNB-side model.</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5: In AI/ML positioning, for gNB-side model (usecase 3a), RAN2 to discuss which entity (gNB or LMF) should perform the AI performance monitoring.</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6: In AI/ML positioning, for gNB-side model (usecase 3a), if performance monitoring is at LMF side, RAN2 to consider two ways for LMF to perform performance monitoring:</w:t>
      </w:r>
    </w:p>
    <w:p>
      <w:pPr>
        <w:numPr>
          <w:ilvl w:val="0"/>
          <w:numId w:val="12"/>
        </w:num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 xml:space="preserve">Compare the UE/PRU locations </w:t>
      </w:r>
    </w:p>
    <w:p>
      <w:pPr>
        <w:numPr>
          <w:ilvl w:val="0"/>
          <w:numId w:val="12"/>
        </w:num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Compare the AI intermediate features of each gNB</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b/>
          <w:bCs/>
          <w:i/>
          <w:iCs/>
          <w:lang w:val="en-US" w:eastAsia="zh-CN"/>
        </w:rPr>
        <w:t>Proposal 7: In AI/ML positioning, for gNB-side model (usecase 3a) with a CU/DU split structure, RAN2 should discuss whether the AI model should be in CU or DU.</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8: In AI/ML positioning, for gNB-side model (usecase 3a), different gNB/TRPs can choose to use different AI models for a certain functionality.</w:t>
      </w:r>
    </w:p>
    <w:p>
      <w:pPr>
        <w:tabs>
          <w:tab w:val="left" w:pos="432"/>
        </w:tabs>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 xml:space="preserve">Proposal 9: Support </w:t>
      </w:r>
      <w:r>
        <w:rPr>
          <w:rFonts w:hint="eastAsia" w:ascii="Times New Roman" w:hAnsi="Times New Roman"/>
          <w:b/>
          <w:i/>
          <w:lang w:val="en-US" w:eastAsia="zh-CN"/>
        </w:rPr>
        <w:t xml:space="preserve">LMF </w:t>
      </w:r>
      <w:r>
        <w:rPr>
          <w:rFonts w:ascii="Times New Roman" w:hAnsi="Times New Roman"/>
          <w:b/>
          <w:i/>
          <w:lang w:val="en-US" w:eastAsia="zh-CN"/>
        </w:rPr>
        <w:t xml:space="preserve">to </w:t>
      </w:r>
      <w:r>
        <w:rPr>
          <w:rFonts w:hint="eastAsia" w:ascii="Times New Roman" w:hAnsi="Times New Roman"/>
          <w:b/>
          <w:i/>
          <w:lang w:val="en-US" w:eastAsia="zh-CN"/>
        </w:rPr>
        <w:t>take control of the LCM procedure</w:t>
      </w:r>
      <w:r>
        <w:rPr>
          <w:rFonts w:ascii="Times New Roman" w:hAnsi="Times New Roman"/>
          <w:b/>
          <w:i/>
          <w:lang w:val="en-US" w:eastAsia="zh-CN"/>
        </w:rPr>
        <w:t xml:space="preserve"> for LMF-side model:</w:t>
      </w:r>
    </w:p>
    <w:p>
      <w:pPr>
        <w:pStyle w:val="69"/>
        <w:numPr>
          <w:ilvl w:val="0"/>
          <w:numId w:val="13"/>
        </w:numPr>
        <w:tabs>
          <w:tab w:val="left" w:pos="432"/>
        </w:tabs>
        <w:adjustRightInd w:val="0"/>
        <w:snapToGrid w:val="0"/>
        <w:spacing w:before="156" w:beforeLines="50" w:after="156" w:afterLines="50" w:line="240" w:lineRule="auto"/>
        <w:ind w:firstLineChars="0"/>
        <w:rPr>
          <w:rFonts w:ascii="Times New Roman" w:hAnsi="Times New Roman"/>
          <w:b/>
          <w:bCs/>
          <w:i/>
          <w:iCs/>
          <w:lang w:val="en-US" w:eastAsia="zh-CN"/>
        </w:rPr>
      </w:pPr>
      <w:r>
        <w:rPr>
          <w:rFonts w:hint="eastAsia" w:ascii="Times New Roman" w:hAnsi="Times New Roman"/>
          <w:b/>
          <w:bCs/>
          <w:i/>
          <w:iCs/>
          <w:lang w:val="en-US" w:eastAsia="zh-CN"/>
        </w:rPr>
        <w:t>F</w:t>
      </w:r>
      <w:r>
        <w:rPr>
          <w:rFonts w:ascii="Times New Roman" w:hAnsi="Times New Roman"/>
          <w:b/>
          <w:bCs/>
          <w:i/>
          <w:iCs/>
          <w:lang w:val="en-US" w:eastAsia="zh-CN"/>
        </w:rPr>
        <w:t xml:space="preserve">or usecase2b, LMF can schedule/request UE to report PRS AI measurement (e.g., CIR/PDP/DP) via existing LPP protocol; </w:t>
      </w:r>
    </w:p>
    <w:p>
      <w:pPr>
        <w:pStyle w:val="69"/>
        <w:numPr>
          <w:ilvl w:val="0"/>
          <w:numId w:val="13"/>
        </w:numPr>
        <w:tabs>
          <w:tab w:val="left" w:pos="432"/>
        </w:tabs>
        <w:adjustRightInd w:val="0"/>
        <w:snapToGrid w:val="0"/>
        <w:spacing w:before="156" w:beforeLines="50" w:after="156" w:afterLines="50" w:line="240" w:lineRule="auto"/>
        <w:ind w:firstLineChars="0"/>
        <w:rPr>
          <w:rFonts w:ascii="Times New Roman" w:hAnsi="Times New Roman"/>
          <w:b/>
          <w:bCs/>
          <w:i/>
          <w:iCs/>
          <w:lang w:val="en-US" w:eastAsia="zh-CN"/>
        </w:rPr>
      </w:pPr>
      <w:r>
        <w:rPr>
          <w:rFonts w:ascii="Times New Roman" w:hAnsi="Times New Roman"/>
          <w:b/>
          <w:bCs/>
          <w:i/>
          <w:iCs/>
          <w:lang w:val="en-US" w:eastAsia="zh-CN"/>
        </w:rPr>
        <w:t>For usecase 3b, LMF can schedule/request serving/neighbor gNBs of the target UE to report SRS AI measurement via existing NRPPa protocol.</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10: In AI/ML positioning, for LMF-side model (usecase 3b and usecase 2b), when model training is at LMF or NWDAF side, the following can be considered:</w:t>
      </w:r>
    </w:p>
    <w:p>
      <w:pPr>
        <w:pStyle w:val="69"/>
        <w:numPr>
          <w:ilvl w:val="0"/>
          <w:numId w:val="14"/>
        </w:numPr>
        <w:adjustRightInd w:val="0"/>
        <w:snapToGrid w:val="0"/>
        <w:spacing w:before="156" w:beforeLines="50" w:after="156" w:afterLines="50" w:line="240" w:lineRule="auto"/>
        <w:ind w:firstLineChars="0"/>
        <w:rPr>
          <w:rFonts w:ascii="Times New Roman" w:hAnsi="Times New Roman"/>
          <w:b/>
          <w:i/>
          <w:lang w:val="en-US" w:eastAsia="zh-CN"/>
        </w:rPr>
      </w:pPr>
      <w:r>
        <w:rPr>
          <w:rFonts w:ascii="Times New Roman" w:hAnsi="Times New Roman"/>
          <w:b/>
          <w:i/>
          <w:lang w:val="en-US" w:eastAsia="zh-CN"/>
        </w:rPr>
        <w:t>For usecase 3b, the model training data is the SRS AI measurement result (e.g., CIR/PDP/DP) gathered from multiple TRPs, the data label can be PRU or normal UE’s location.</w:t>
      </w:r>
    </w:p>
    <w:p>
      <w:pPr>
        <w:pStyle w:val="69"/>
        <w:numPr>
          <w:ilvl w:val="0"/>
          <w:numId w:val="14"/>
        </w:numPr>
        <w:adjustRightInd w:val="0"/>
        <w:snapToGrid w:val="0"/>
        <w:spacing w:before="156" w:beforeLines="50" w:after="156" w:afterLines="50" w:line="240" w:lineRule="auto"/>
        <w:ind w:firstLineChars="0"/>
        <w:rPr>
          <w:rFonts w:ascii="Times New Roman" w:hAnsi="Times New Roman"/>
          <w:b/>
          <w:bCs/>
          <w:i/>
          <w:iCs/>
          <w:lang w:val="en-US" w:eastAsia="zh-CN"/>
        </w:rPr>
      </w:pPr>
      <w:r>
        <w:rPr>
          <w:rFonts w:ascii="Times New Roman" w:hAnsi="Times New Roman"/>
          <w:b/>
          <w:i/>
          <w:lang w:val="en-US" w:eastAsia="zh-CN"/>
        </w:rPr>
        <w:t>For usecase 2b, the model training data is the PRS AI measurement result (e.g., CIR/PDP/DP) gathered from the UE/PRU, and the label can be PRU or normal UE’s location.</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Proposal 11: In AI/ML positioning, for LMF-side model (usecase 3b and usecase 2b), RAN2 to support LMF perform performance monitoring. RAN2 to consider the following procedures:</w:t>
      </w:r>
    </w:p>
    <w:p>
      <w:pPr>
        <w:pStyle w:val="69"/>
        <w:numPr>
          <w:ilvl w:val="0"/>
          <w:numId w:val="16"/>
        </w:numPr>
        <w:adjustRightInd w:val="0"/>
        <w:snapToGrid w:val="0"/>
        <w:spacing w:before="156" w:beforeLines="50" w:after="156" w:afterLines="50" w:line="240" w:lineRule="auto"/>
        <w:ind w:firstLineChars="0"/>
        <w:rPr>
          <w:rFonts w:ascii="Times New Roman" w:hAnsi="Times New Roman"/>
          <w:b/>
          <w:bCs/>
          <w:i/>
          <w:iCs/>
          <w:lang w:val="en-US" w:eastAsia="zh-CN"/>
        </w:rPr>
      </w:pPr>
      <w:r>
        <w:rPr>
          <w:rFonts w:ascii="Times New Roman" w:hAnsi="Times New Roman"/>
          <w:b/>
          <w:bCs/>
          <w:i/>
          <w:iCs/>
          <w:lang w:val="en-US" w:eastAsia="zh-CN"/>
        </w:rPr>
        <w:t>For usecase 3b, LMF can schedule UE/PRUs to perform UL AI positioning, using the SRS CIR/PDP/DP from multiple TRPs of each UE/PRU as model input, and using the known UE/PRU location as data label.</w:t>
      </w:r>
    </w:p>
    <w:p>
      <w:pPr>
        <w:pStyle w:val="69"/>
        <w:numPr>
          <w:ilvl w:val="0"/>
          <w:numId w:val="16"/>
        </w:numPr>
        <w:adjustRightInd w:val="0"/>
        <w:snapToGrid w:val="0"/>
        <w:spacing w:before="156" w:beforeLines="50" w:after="156" w:afterLines="50" w:line="240" w:lineRule="auto"/>
        <w:ind w:firstLineChars="0"/>
        <w:rPr>
          <w:rFonts w:ascii="Times New Roman" w:hAnsi="Times New Roman"/>
          <w:b/>
          <w:bCs/>
          <w:i/>
          <w:iCs/>
          <w:lang w:val="en-US" w:eastAsia="zh-CN"/>
        </w:rPr>
      </w:pPr>
      <w:r>
        <w:rPr>
          <w:rFonts w:ascii="Times New Roman" w:hAnsi="Times New Roman"/>
          <w:b/>
          <w:bCs/>
          <w:i/>
          <w:iCs/>
          <w:lang w:val="en-US" w:eastAsia="zh-CN"/>
        </w:rPr>
        <w:t>For usecase 2b</w:t>
      </w:r>
      <w:r>
        <w:rPr>
          <w:rFonts w:hint="eastAsia" w:ascii="Times New Roman" w:hAnsi="Times New Roman"/>
          <w:b/>
          <w:bCs/>
          <w:i/>
          <w:iCs/>
          <w:lang w:val="en-US" w:eastAsia="zh-CN"/>
        </w:rPr>
        <w:t xml:space="preserve">, </w:t>
      </w:r>
      <w:r>
        <w:rPr>
          <w:rFonts w:ascii="Times New Roman" w:hAnsi="Times New Roman"/>
          <w:b/>
          <w:bCs/>
          <w:i/>
          <w:iCs/>
          <w:lang w:val="en-US" w:eastAsia="zh-CN"/>
        </w:rPr>
        <w:t>LMF can schedule UE/PRUs to perform DL AI positioning, using the PRS CIR/PDP/DP from multiple UE/PRUs as model input, and using the known UE/PRU location as data label.</w:t>
      </w:r>
    </w:p>
    <w:p>
      <w:pPr>
        <w:adjustRightInd w:val="0"/>
        <w:snapToGrid w:val="0"/>
        <w:spacing w:before="156" w:beforeLines="50" w:after="156" w:afterLines="50" w:line="240" w:lineRule="auto"/>
        <w:rPr>
          <w:rFonts w:ascii="Times New Roman" w:hAnsi="Times New Roman"/>
          <w:b/>
          <w:bCs/>
          <w:i/>
          <w:iCs/>
          <w:lang w:val="en-US" w:eastAsia="zh-CN"/>
        </w:rPr>
      </w:pPr>
      <w:r>
        <w:rPr>
          <w:rFonts w:ascii="Times New Roman" w:hAnsi="Times New Roman"/>
          <w:b/>
          <w:bCs/>
          <w:i/>
          <w:iCs/>
          <w:lang w:val="en-US" w:eastAsia="zh-CN"/>
        </w:rPr>
        <w:t>Send LS to SA2 to notify the agreement.</w:t>
      </w:r>
    </w:p>
    <w:p>
      <w:pPr>
        <w:adjustRightInd w:val="0"/>
        <w:snapToGrid w:val="0"/>
        <w:spacing w:before="156" w:beforeLines="50" w:after="156" w:afterLines="50" w:line="240" w:lineRule="auto"/>
        <w:rPr>
          <w:rFonts w:ascii="Times New Roman" w:hAnsi="Times New Roman"/>
          <w:b/>
          <w:bCs/>
          <w:i/>
          <w:iCs/>
          <w:lang w:val="en-US" w:eastAsia="zh-CN"/>
        </w:rPr>
      </w:pPr>
    </w:p>
    <w:p>
      <w:pPr>
        <w:adjustRightInd w:val="0"/>
        <w:snapToGrid w:val="0"/>
        <w:spacing w:before="156" w:beforeLines="50" w:after="156" w:afterLines="50" w:line="240" w:lineRule="auto"/>
        <w:rPr>
          <w:rFonts w:ascii="Times New Roman" w:hAnsi="Times New Roman"/>
          <w:b/>
          <w:bCs/>
          <w:iCs/>
          <w:u w:val="single"/>
          <w:lang w:val="en-US" w:eastAsia="zh-CN"/>
        </w:rPr>
      </w:pPr>
      <w:r>
        <w:rPr>
          <w:rFonts w:ascii="Times New Roman" w:hAnsi="Times New Roman"/>
          <w:b/>
          <w:bCs/>
          <w:iCs/>
          <w:u w:val="single"/>
          <w:lang w:val="en-US" w:eastAsia="zh-CN"/>
        </w:rPr>
        <w:t>AI/ML based beam management</w:t>
      </w:r>
    </w:p>
    <w:p>
      <w:pPr>
        <w:pStyle w:val="292"/>
        <w:adjustRightInd w:val="0"/>
        <w:snapToGrid w:val="0"/>
        <w:spacing w:before="156" w:beforeLines="50" w:beforeAutospacing="0" w:after="156" w:afterLines="50" w:line="240" w:lineRule="auto"/>
        <w:ind w:firstLine="0" w:firstLineChars="0"/>
        <w:rPr>
          <w:rFonts w:ascii="Times New Roman" w:hAnsi="Times New Roman"/>
          <w:bCs/>
          <w:sz w:val="20"/>
          <w:szCs w:val="20"/>
        </w:rPr>
      </w:pPr>
      <w:r>
        <w:rPr>
          <w:rFonts w:ascii="Times New Roman" w:hAnsi="Times New Roman"/>
          <w:b/>
          <w:bCs/>
          <w:i/>
          <w:iCs/>
        </w:rPr>
        <w:t>Proposal 12: For AI/ML based beam management, RAN2 confirms the entity used for training the NW-side AI/ML model only can be OAM or gNB, CN and OTT server is excluded.</w:t>
      </w:r>
    </w:p>
    <w:p>
      <w:pPr>
        <w:pStyle w:val="292"/>
        <w:adjustRightInd w:val="0"/>
        <w:snapToGrid w:val="0"/>
        <w:spacing w:before="156" w:beforeLines="50" w:beforeAutospacing="0" w:after="156" w:afterLines="50" w:line="240" w:lineRule="auto"/>
        <w:ind w:firstLine="0" w:firstLineChars="0"/>
        <w:rPr>
          <w:rFonts w:ascii="Times New Roman" w:hAnsi="Times New Roman"/>
          <w:b/>
          <w:bCs/>
          <w:i/>
          <w:iCs/>
        </w:rPr>
      </w:pPr>
      <w:r>
        <w:rPr>
          <w:rFonts w:ascii="Times New Roman" w:hAnsi="Times New Roman"/>
          <w:b/>
          <w:bCs/>
          <w:i/>
          <w:iCs/>
        </w:rPr>
        <w:t>Proposal 13: For AI/ML based beam management, RAN2 assumes the L1 measurement framework shall be used for configuring the input data of the NW side AI/ML model inference, and the legacy beam management can be reused for adjusting the UE’s UL/DL beams according to the output of the NW side AI/ML model inference.</w:t>
      </w:r>
    </w:p>
    <w:p>
      <w:pPr>
        <w:pStyle w:val="292"/>
        <w:adjustRightInd w:val="0"/>
        <w:snapToGrid w:val="0"/>
        <w:spacing w:before="156" w:beforeLines="50" w:beforeAutospacing="0" w:after="156" w:afterLines="50" w:line="240" w:lineRule="auto"/>
        <w:ind w:firstLine="0" w:firstLineChars="0"/>
        <w:rPr>
          <w:rFonts w:ascii="Times New Roman" w:hAnsi="Times New Roman"/>
          <w:b/>
          <w:i/>
          <w:iCs/>
          <w:sz w:val="20"/>
          <w:szCs w:val="20"/>
        </w:rPr>
      </w:pPr>
      <w:r>
        <w:rPr>
          <w:rFonts w:ascii="Times New Roman" w:hAnsi="Times New Roman"/>
          <w:b/>
          <w:bCs/>
          <w:i/>
          <w:iCs/>
        </w:rPr>
        <w:t>Proposal 14: For AI/ML based beam management, RAN2 assumes there is no any air-interface specifcation impact from model (funtionality) management.</w:t>
      </w:r>
    </w:p>
    <w:p>
      <w:pPr>
        <w:adjustRightInd w:val="0"/>
        <w:snapToGrid w:val="0"/>
        <w:spacing w:before="156" w:beforeLines="50" w:after="156" w:afterLines="50" w:line="240" w:lineRule="auto"/>
        <w:rPr>
          <w:rFonts w:ascii="Times New Roman" w:hAnsi="Times New Roman"/>
          <w:kern w:val="0"/>
          <w:sz w:val="20"/>
          <w:szCs w:val="20"/>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hint="eastAsia"/>
          <w:sz w:val="28"/>
          <w:szCs w:val="28"/>
          <w:lang w:val="en-US" w:eastAsia="zh-CN"/>
        </w:rPr>
        <w:t xml:space="preserve"> </w:t>
      </w:r>
      <w:r>
        <w:rPr>
          <w:rFonts w:hint="eastAsia" w:cs="Arial"/>
          <w:kern w:val="0"/>
          <w:sz w:val="28"/>
          <w:szCs w:val="28"/>
          <w:lang w:val="en-US" w:eastAsia="zh-CN"/>
        </w:rPr>
        <w:t>Reference</w:t>
      </w:r>
    </w:p>
    <w:p>
      <w:pPr>
        <w:numPr>
          <w:ilvl w:val="0"/>
          <w:numId w:val="18"/>
        </w:numPr>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R</w:t>
      </w:r>
      <w:r>
        <w:rPr>
          <w:rFonts w:ascii="Times New Roman" w:hAnsi="Times New Roman"/>
          <w:kern w:val="0"/>
          <w:sz w:val="20"/>
          <w:szCs w:val="20"/>
          <w:lang w:val="en-US" w:eastAsia="zh-CN"/>
        </w:rPr>
        <w:t>P-234039, New WID on Artificial Intelligence (AI)/Machine Learning (ML) for NR Air Interface, 2023-12</w:t>
      </w:r>
    </w:p>
    <w:p>
      <w:pPr>
        <w:numPr>
          <w:ilvl w:val="0"/>
          <w:numId w:val="18"/>
        </w:num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3GPP TR 38.843 V18.0.0,</w:t>
      </w:r>
      <w:r>
        <w:t xml:space="preserve"> </w:t>
      </w:r>
      <w:r>
        <w:rPr>
          <w:rFonts w:ascii="Times New Roman" w:hAnsi="Times New Roman"/>
          <w:kern w:val="0"/>
          <w:sz w:val="20"/>
          <w:szCs w:val="20"/>
          <w:lang w:val="en-US" w:eastAsia="zh-CN"/>
        </w:rPr>
        <w:t>Study on Artificial Intelligence (AI)/Machine Learning (ML) for NR air interface (Rel-18), 2023-12</w:t>
      </w:r>
    </w:p>
    <w:p>
      <w:pPr>
        <w:numPr>
          <w:ilvl w:val="0"/>
          <w:numId w:val="18"/>
        </w:num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3GPP TR 23.700-84 V0.2.0, Study on Core Network Enhanced Support for Artificial Intelligence (AI)/Machine Learning (ML) </w:t>
      </w:r>
      <w:r>
        <w:rPr>
          <w:rFonts w:hint="eastAsia" w:ascii="Times New Roman" w:hAnsi="Times New Roman"/>
          <w:kern w:val="0"/>
          <w:sz w:val="20"/>
          <w:szCs w:val="20"/>
          <w:lang w:val="en-US" w:eastAsia="zh-CN"/>
        </w:rPr>
        <w:t>(</w:t>
      </w:r>
      <w:r>
        <w:rPr>
          <w:rFonts w:ascii="Times New Roman" w:hAnsi="Times New Roman"/>
          <w:kern w:val="0"/>
          <w:sz w:val="20"/>
          <w:szCs w:val="20"/>
          <w:lang w:val="en-US" w:eastAsia="zh-CN"/>
        </w:rPr>
        <w:t>Rel-19</w:t>
      </w:r>
      <w:r>
        <w:rPr>
          <w:rFonts w:hint="eastAsia" w:ascii="Times New Roman" w:hAnsi="Times New Roman"/>
          <w:kern w:val="0"/>
          <w:sz w:val="20"/>
          <w:szCs w:val="20"/>
          <w:lang w:val="en-US" w:eastAsia="zh-CN"/>
        </w:rPr>
        <w:t>)</w:t>
      </w:r>
      <w:r>
        <w:rPr>
          <w:rFonts w:ascii="Times New Roman" w:hAnsi="Times New Roman"/>
          <w:kern w:val="0"/>
          <w:sz w:val="20"/>
          <w:szCs w:val="20"/>
          <w:lang w:val="en-US" w:eastAsia="zh-CN"/>
        </w:rPr>
        <w:t>, 2024-03</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2A4EB"/>
    <w:multiLevelType w:val="multilevel"/>
    <w:tmpl w:val="8D72A4EB"/>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9ACFBB2E"/>
    <w:multiLevelType w:val="singleLevel"/>
    <w:tmpl w:val="9ACFBB2E"/>
    <w:lvl w:ilvl="0" w:tentative="0">
      <w:start w:val="1"/>
      <w:numFmt w:val="decimal"/>
      <w:suff w:val="space"/>
      <w:lvlText w:val="[%1]"/>
      <w:lvlJc w:val="left"/>
    </w:lvl>
  </w:abstractNum>
  <w:abstractNum w:abstractNumId="2">
    <w:nsid w:val="B90A994E"/>
    <w:multiLevelType w:val="multilevel"/>
    <w:tmpl w:val="B90A994E"/>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04C078F7"/>
    <w:multiLevelType w:val="multilevel"/>
    <w:tmpl w:val="04C078F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CAB1B6D"/>
    <w:multiLevelType w:val="multilevel"/>
    <w:tmpl w:val="0CAB1B6D"/>
    <w:lvl w:ilvl="0" w:tentative="0">
      <w:start w:val="0"/>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F113E57"/>
    <w:multiLevelType w:val="multilevel"/>
    <w:tmpl w:val="0F113E5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37C9571B"/>
    <w:multiLevelType w:val="multilevel"/>
    <w:tmpl w:val="37C9571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3C666627"/>
    <w:multiLevelType w:val="multilevel"/>
    <w:tmpl w:val="3C6666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43722ACD"/>
    <w:multiLevelType w:val="multilevel"/>
    <w:tmpl w:val="43722AC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2BF1D56"/>
    <w:multiLevelType w:val="multilevel"/>
    <w:tmpl w:val="52BF1D5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661EFCD"/>
    <w:multiLevelType w:val="singleLevel"/>
    <w:tmpl w:val="5661EFCD"/>
    <w:lvl w:ilvl="0" w:tentative="0">
      <w:start w:val="1"/>
      <w:numFmt w:val="bullet"/>
      <w:lvlText w:val=""/>
      <w:lvlJc w:val="left"/>
      <w:pPr>
        <w:ind w:left="420" w:hanging="420"/>
      </w:pPr>
      <w:rPr>
        <w:rFonts w:hint="default" w:ascii="Wingdings" w:hAnsi="Wingdings"/>
      </w:rPr>
    </w:lvl>
  </w:abstractNum>
  <w:abstractNum w:abstractNumId="15">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6396836"/>
    <w:multiLevelType w:val="multilevel"/>
    <w:tmpl w:val="6639683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7D8AAFC7"/>
    <w:multiLevelType w:val="multilevel"/>
    <w:tmpl w:val="7D8AAFC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12"/>
  </w:num>
  <w:num w:numId="3">
    <w:abstractNumId w:val="7"/>
  </w:num>
  <w:num w:numId="4">
    <w:abstractNumId w:val="8"/>
  </w:num>
  <w:num w:numId="5">
    <w:abstractNumId w:val="3"/>
  </w:num>
  <w:num w:numId="6">
    <w:abstractNumId w:val="15"/>
  </w:num>
  <w:num w:numId="7">
    <w:abstractNumId w:val="13"/>
  </w:num>
  <w:num w:numId="8">
    <w:abstractNumId w:val="16"/>
  </w:num>
  <w:num w:numId="9">
    <w:abstractNumId w:val="4"/>
  </w:num>
  <w:num w:numId="10">
    <w:abstractNumId w:val="17"/>
  </w:num>
  <w:num w:numId="11">
    <w:abstractNumId w:val="2"/>
  </w:num>
  <w:num w:numId="12">
    <w:abstractNumId w:val="14"/>
  </w:num>
  <w:num w:numId="13">
    <w:abstractNumId w:val="11"/>
  </w:num>
  <w:num w:numId="14">
    <w:abstractNumId w:val="9"/>
  </w:num>
  <w:num w:numId="15">
    <w:abstractNumId w:val="10"/>
  </w:num>
  <w:num w:numId="16">
    <w:abstractNumId w:val="6"/>
  </w:num>
  <w:num w:numId="17">
    <w:abstractNumId w:val="5"/>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57E"/>
    <w:rsid w:val="00027EEC"/>
    <w:rsid w:val="00030321"/>
    <w:rsid w:val="00035A1E"/>
    <w:rsid w:val="00035EF9"/>
    <w:rsid w:val="00037973"/>
    <w:rsid w:val="00037C1E"/>
    <w:rsid w:val="00040A63"/>
    <w:rsid w:val="0004105F"/>
    <w:rsid w:val="00042D04"/>
    <w:rsid w:val="00042E6F"/>
    <w:rsid w:val="00042FE4"/>
    <w:rsid w:val="00043923"/>
    <w:rsid w:val="00043FCA"/>
    <w:rsid w:val="000441BD"/>
    <w:rsid w:val="00044EB3"/>
    <w:rsid w:val="00045EDE"/>
    <w:rsid w:val="00046E3D"/>
    <w:rsid w:val="000513C0"/>
    <w:rsid w:val="00054303"/>
    <w:rsid w:val="00054A36"/>
    <w:rsid w:val="000563ED"/>
    <w:rsid w:val="000603D6"/>
    <w:rsid w:val="00060709"/>
    <w:rsid w:val="00063276"/>
    <w:rsid w:val="0007093A"/>
    <w:rsid w:val="00071D0A"/>
    <w:rsid w:val="0007205B"/>
    <w:rsid w:val="0007372F"/>
    <w:rsid w:val="00073BCE"/>
    <w:rsid w:val="000755A8"/>
    <w:rsid w:val="00075AE2"/>
    <w:rsid w:val="00075F6C"/>
    <w:rsid w:val="00076492"/>
    <w:rsid w:val="00076B12"/>
    <w:rsid w:val="000804D4"/>
    <w:rsid w:val="0008122E"/>
    <w:rsid w:val="00082CAA"/>
    <w:rsid w:val="00084609"/>
    <w:rsid w:val="00084E5D"/>
    <w:rsid w:val="000875C4"/>
    <w:rsid w:val="0009084A"/>
    <w:rsid w:val="000912DB"/>
    <w:rsid w:val="000915A4"/>
    <w:rsid w:val="00091CE2"/>
    <w:rsid w:val="0009278C"/>
    <w:rsid w:val="00092939"/>
    <w:rsid w:val="00093AD0"/>
    <w:rsid w:val="00094D11"/>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A5790"/>
    <w:rsid w:val="000B045E"/>
    <w:rsid w:val="000B0495"/>
    <w:rsid w:val="000B155F"/>
    <w:rsid w:val="000B21DA"/>
    <w:rsid w:val="000B25A2"/>
    <w:rsid w:val="000B2A5C"/>
    <w:rsid w:val="000B3108"/>
    <w:rsid w:val="000B31AA"/>
    <w:rsid w:val="000B38F6"/>
    <w:rsid w:val="000B4B76"/>
    <w:rsid w:val="000B6418"/>
    <w:rsid w:val="000B65CB"/>
    <w:rsid w:val="000B780E"/>
    <w:rsid w:val="000C0AC9"/>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2BA3"/>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09"/>
    <w:rsid w:val="001410FD"/>
    <w:rsid w:val="001413B6"/>
    <w:rsid w:val="00141835"/>
    <w:rsid w:val="00142411"/>
    <w:rsid w:val="00145AFF"/>
    <w:rsid w:val="00147740"/>
    <w:rsid w:val="00150BAB"/>
    <w:rsid w:val="00160A40"/>
    <w:rsid w:val="001627D9"/>
    <w:rsid w:val="001679F6"/>
    <w:rsid w:val="00170667"/>
    <w:rsid w:val="00170C6A"/>
    <w:rsid w:val="00171FF9"/>
    <w:rsid w:val="0017245C"/>
    <w:rsid w:val="00173CA3"/>
    <w:rsid w:val="00175677"/>
    <w:rsid w:val="00175874"/>
    <w:rsid w:val="00175B74"/>
    <w:rsid w:val="001767E6"/>
    <w:rsid w:val="00176AC2"/>
    <w:rsid w:val="001802FB"/>
    <w:rsid w:val="001806A8"/>
    <w:rsid w:val="00180983"/>
    <w:rsid w:val="001811F7"/>
    <w:rsid w:val="0018310D"/>
    <w:rsid w:val="00183502"/>
    <w:rsid w:val="001841BA"/>
    <w:rsid w:val="00184F72"/>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5CDB"/>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0BAF"/>
    <w:rsid w:val="001F1606"/>
    <w:rsid w:val="001F31F0"/>
    <w:rsid w:val="001F3DF5"/>
    <w:rsid w:val="001F4346"/>
    <w:rsid w:val="0020182F"/>
    <w:rsid w:val="00201FFE"/>
    <w:rsid w:val="00202949"/>
    <w:rsid w:val="00202C4B"/>
    <w:rsid w:val="00203B88"/>
    <w:rsid w:val="00204AE4"/>
    <w:rsid w:val="00206380"/>
    <w:rsid w:val="00207AFD"/>
    <w:rsid w:val="0021059E"/>
    <w:rsid w:val="002155FA"/>
    <w:rsid w:val="00216E24"/>
    <w:rsid w:val="002176DE"/>
    <w:rsid w:val="002177BC"/>
    <w:rsid w:val="00217880"/>
    <w:rsid w:val="00217C8F"/>
    <w:rsid w:val="00223756"/>
    <w:rsid w:val="00223B64"/>
    <w:rsid w:val="00224BF7"/>
    <w:rsid w:val="002276D5"/>
    <w:rsid w:val="0023029F"/>
    <w:rsid w:val="00231281"/>
    <w:rsid w:val="00231C4C"/>
    <w:rsid w:val="00231DC2"/>
    <w:rsid w:val="002333B7"/>
    <w:rsid w:val="002344F2"/>
    <w:rsid w:val="00236487"/>
    <w:rsid w:val="002368E4"/>
    <w:rsid w:val="00241832"/>
    <w:rsid w:val="00242788"/>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67305"/>
    <w:rsid w:val="002702FB"/>
    <w:rsid w:val="00270A1C"/>
    <w:rsid w:val="00270B14"/>
    <w:rsid w:val="00271B74"/>
    <w:rsid w:val="00271ED8"/>
    <w:rsid w:val="002730ED"/>
    <w:rsid w:val="00275D38"/>
    <w:rsid w:val="00281718"/>
    <w:rsid w:val="002855D0"/>
    <w:rsid w:val="002901F1"/>
    <w:rsid w:val="002902D6"/>
    <w:rsid w:val="00290E18"/>
    <w:rsid w:val="002910B9"/>
    <w:rsid w:val="00291D54"/>
    <w:rsid w:val="00292954"/>
    <w:rsid w:val="002932C5"/>
    <w:rsid w:val="00293542"/>
    <w:rsid w:val="00293A6E"/>
    <w:rsid w:val="002961E6"/>
    <w:rsid w:val="00297A88"/>
    <w:rsid w:val="002A6D0A"/>
    <w:rsid w:val="002A7F9A"/>
    <w:rsid w:val="002B1F00"/>
    <w:rsid w:val="002B24A3"/>
    <w:rsid w:val="002B2BBC"/>
    <w:rsid w:val="002B351B"/>
    <w:rsid w:val="002B3C48"/>
    <w:rsid w:val="002B434C"/>
    <w:rsid w:val="002B4604"/>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591C"/>
    <w:rsid w:val="002D6461"/>
    <w:rsid w:val="002D650F"/>
    <w:rsid w:val="002D6A82"/>
    <w:rsid w:val="002D6E18"/>
    <w:rsid w:val="002E002E"/>
    <w:rsid w:val="002E28F9"/>
    <w:rsid w:val="002E43F3"/>
    <w:rsid w:val="002E4EF3"/>
    <w:rsid w:val="002E5737"/>
    <w:rsid w:val="002E7525"/>
    <w:rsid w:val="002F01CA"/>
    <w:rsid w:val="002F03EC"/>
    <w:rsid w:val="002F1163"/>
    <w:rsid w:val="002F2326"/>
    <w:rsid w:val="002F2924"/>
    <w:rsid w:val="002F3161"/>
    <w:rsid w:val="002F4510"/>
    <w:rsid w:val="002F4BC0"/>
    <w:rsid w:val="002F5517"/>
    <w:rsid w:val="00300EE0"/>
    <w:rsid w:val="003031CE"/>
    <w:rsid w:val="0030384F"/>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06D"/>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38B"/>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1A9"/>
    <w:rsid w:val="003A150D"/>
    <w:rsid w:val="003A1C63"/>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C778C"/>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59D"/>
    <w:rsid w:val="00494981"/>
    <w:rsid w:val="00495E19"/>
    <w:rsid w:val="0049613E"/>
    <w:rsid w:val="0049650D"/>
    <w:rsid w:val="004A0053"/>
    <w:rsid w:val="004A014A"/>
    <w:rsid w:val="004A0572"/>
    <w:rsid w:val="004A1051"/>
    <w:rsid w:val="004A1B41"/>
    <w:rsid w:val="004A2687"/>
    <w:rsid w:val="004A327C"/>
    <w:rsid w:val="004A402F"/>
    <w:rsid w:val="004A5014"/>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8E"/>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682"/>
    <w:rsid w:val="0057377D"/>
    <w:rsid w:val="00581A98"/>
    <w:rsid w:val="00582C19"/>
    <w:rsid w:val="00585E04"/>
    <w:rsid w:val="0058687D"/>
    <w:rsid w:val="00586D2A"/>
    <w:rsid w:val="00587519"/>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1F3"/>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3F09"/>
    <w:rsid w:val="00635291"/>
    <w:rsid w:val="006357BD"/>
    <w:rsid w:val="006367CF"/>
    <w:rsid w:val="006408DC"/>
    <w:rsid w:val="006413AD"/>
    <w:rsid w:val="00641E8E"/>
    <w:rsid w:val="00643A7A"/>
    <w:rsid w:val="0064545A"/>
    <w:rsid w:val="00645C93"/>
    <w:rsid w:val="00646B72"/>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4A6C"/>
    <w:rsid w:val="00674CAC"/>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4B53"/>
    <w:rsid w:val="006C5CB0"/>
    <w:rsid w:val="006C60A2"/>
    <w:rsid w:val="006C60B2"/>
    <w:rsid w:val="006C6193"/>
    <w:rsid w:val="006D0533"/>
    <w:rsid w:val="006D0750"/>
    <w:rsid w:val="006D1594"/>
    <w:rsid w:val="006D18A3"/>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0B1"/>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D20"/>
    <w:rsid w:val="00707E83"/>
    <w:rsid w:val="00711E45"/>
    <w:rsid w:val="007128AD"/>
    <w:rsid w:val="00713744"/>
    <w:rsid w:val="00713C69"/>
    <w:rsid w:val="0071467B"/>
    <w:rsid w:val="00715037"/>
    <w:rsid w:val="007165B5"/>
    <w:rsid w:val="007165BE"/>
    <w:rsid w:val="00717EC0"/>
    <w:rsid w:val="007200FA"/>
    <w:rsid w:val="00722CB2"/>
    <w:rsid w:val="00723530"/>
    <w:rsid w:val="00723794"/>
    <w:rsid w:val="007238D8"/>
    <w:rsid w:val="007249B1"/>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58A"/>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221E"/>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74F"/>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9E8"/>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8D0"/>
    <w:rsid w:val="00891E8C"/>
    <w:rsid w:val="008937A3"/>
    <w:rsid w:val="0089509A"/>
    <w:rsid w:val="008A4FE1"/>
    <w:rsid w:val="008A5E28"/>
    <w:rsid w:val="008B302A"/>
    <w:rsid w:val="008B4198"/>
    <w:rsid w:val="008B4609"/>
    <w:rsid w:val="008B61D8"/>
    <w:rsid w:val="008B725C"/>
    <w:rsid w:val="008C11A0"/>
    <w:rsid w:val="008C1D6D"/>
    <w:rsid w:val="008C3F98"/>
    <w:rsid w:val="008C594A"/>
    <w:rsid w:val="008C6D5C"/>
    <w:rsid w:val="008D1DAC"/>
    <w:rsid w:val="008D23AF"/>
    <w:rsid w:val="008D3A05"/>
    <w:rsid w:val="008D3E0C"/>
    <w:rsid w:val="008D429D"/>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E7434"/>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8F5"/>
    <w:rsid w:val="00961E92"/>
    <w:rsid w:val="009632F2"/>
    <w:rsid w:val="00963700"/>
    <w:rsid w:val="0096459F"/>
    <w:rsid w:val="009647C5"/>
    <w:rsid w:val="00964C8F"/>
    <w:rsid w:val="00965BB2"/>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564A"/>
    <w:rsid w:val="00985DB7"/>
    <w:rsid w:val="009861C6"/>
    <w:rsid w:val="00986B3C"/>
    <w:rsid w:val="00987909"/>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0670"/>
    <w:rsid w:val="009B155B"/>
    <w:rsid w:val="009B183F"/>
    <w:rsid w:val="009B1F5B"/>
    <w:rsid w:val="009B3DB8"/>
    <w:rsid w:val="009B4769"/>
    <w:rsid w:val="009B4AF5"/>
    <w:rsid w:val="009B4FF0"/>
    <w:rsid w:val="009C2086"/>
    <w:rsid w:val="009C29EB"/>
    <w:rsid w:val="009C3006"/>
    <w:rsid w:val="009C47A7"/>
    <w:rsid w:val="009C5053"/>
    <w:rsid w:val="009C5F45"/>
    <w:rsid w:val="009D0E05"/>
    <w:rsid w:val="009D159F"/>
    <w:rsid w:val="009D2A16"/>
    <w:rsid w:val="009D4F22"/>
    <w:rsid w:val="009D650F"/>
    <w:rsid w:val="009D6952"/>
    <w:rsid w:val="009D79FD"/>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5B68"/>
    <w:rsid w:val="00A3666D"/>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86B30"/>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5C2"/>
    <w:rsid w:val="00AC464D"/>
    <w:rsid w:val="00AC51E8"/>
    <w:rsid w:val="00AC61AE"/>
    <w:rsid w:val="00AC70FC"/>
    <w:rsid w:val="00AD0CA9"/>
    <w:rsid w:val="00AD1C5F"/>
    <w:rsid w:val="00AD2407"/>
    <w:rsid w:val="00AD357E"/>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41F2"/>
    <w:rsid w:val="00B15903"/>
    <w:rsid w:val="00B1604A"/>
    <w:rsid w:val="00B166C8"/>
    <w:rsid w:val="00B16AF7"/>
    <w:rsid w:val="00B23604"/>
    <w:rsid w:val="00B243E6"/>
    <w:rsid w:val="00B2566A"/>
    <w:rsid w:val="00B2704A"/>
    <w:rsid w:val="00B306C5"/>
    <w:rsid w:val="00B35FBD"/>
    <w:rsid w:val="00B37C1F"/>
    <w:rsid w:val="00B41694"/>
    <w:rsid w:val="00B41D95"/>
    <w:rsid w:val="00B41F8E"/>
    <w:rsid w:val="00B425D5"/>
    <w:rsid w:val="00B426BB"/>
    <w:rsid w:val="00B427B9"/>
    <w:rsid w:val="00B42907"/>
    <w:rsid w:val="00B43371"/>
    <w:rsid w:val="00B43E64"/>
    <w:rsid w:val="00B44CA2"/>
    <w:rsid w:val="00B454AE"/>
    <w:rsid w:val="00B455D4"/>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374"/>
    <w:rsid w:val="00B754F6"/>
    <w:rsid w:val="00B75AA4"/>
    <w:rsid w:val="00B82234"/>
    <w:rsid w:val="00B8283E"/>
    <w:rsid w:val="00B832A6"/>
    <w:rsid w:val="00B837AA"/>
    <w:rsid w:val="00B87D03"/>
    <w:rsid w:val="00B909E8"/>
    <w:rsid w:val="00B916CC"/>
    <w:rsid w:val="00B928EE"/>
    <w:rsid w:val="00B92AD5"/>
    <w:rsid w:val="00B942DB"/>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4E59"/>
    <w:rsid w:val="00BD6CFB"/>
    <w:rsid w:val="00BD7D09"/>
    <w:rsid w:val="00BD7FFB"/>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BF7BC0"/>
    <w:rsid w:val="00C002DB"/>
    <w:rsid w:val="00C0085D"/>
    <w:rsid w:val="00C00E47"/>
    <w:rsid w:val="00C010AA"/>
    <w:rsid w:val="00C013EF"/>
    <w:rsid w:val="00C02D2A"/>
    <w:rsid w:val="00C0358E"/>
    <w:rsid w:val="00C037FE"/>
    <w:rsid w:val="00C04137"/>
    <w:rsid w:val="00C057BD"/>
    <w:rsid w:val="00C07255"/>
    <w:rsid w:val="00C11D21"/>
    <w:rsid w:val="00C11EFC"/>
    <w:rsid w:val="00C15DD5"/>
    <w:rsid w:val="00C1675F"/>
    <w:rsid w:val="00C16C7E"/>
    <w:rsid w:val="00C2052B"/>
    <w:rsid w:val="00C21AFA"/>
    <w:rsid w:val="00C21F2D"/>
    <w:rsid w:val="00C22A1C"/>
    <w:rsid w:val="00C23439"/>
    <w:rsid w:val="00C27213"/>
    <w:rsid w:val="00C278C2"/>
    <w:rsid w:val="00C305F5"/>
    <w:rsid w:val="00C3083D"/>
    <w:rsid w:val="00C32425"/>
    <w:rsid w:val="00C33DEA"/>
    <w:rsid w:val="00C34AE1"/>
    <w:rsid w:val="00C35152"/>
    <w:rsid w:val="00C353D0"/>
    <w:rsid w:val="00C35AE1"/>
    <w:rsid w:val="00C41E00"/>
    <w:rsid w:val="00C41E55"/>
    <w:rsid w:val="00C42684"/>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5C46"/>
    <w:rsid w:val="00C56DB9"/>
    <w:rsid w:val="00C575C3"/>
    <w:rsid w:val="00C60E77"/>
    <w:rsid w:val="00C621A1"/>
    <w:rsid w:val="00C625B3"/>
    <w:rsid w:val="00C63153"/>
    <w:rsid w:val="00C63CB8"/>
    <w:rsid w:val="00C65327"/>
    <w:rsid w:val="00C657AC"/>
    <w:rsid w:val="00C67235"/>
    <w:rsid w:val="00C67382"/>
    <w:rsid w:val="00C720C8"/>
    <w:rsid w:val="00C72471"/>
    <w:rsid w:val="00C72B4C"/>
    <w:rsid w:val="00C73AE5"/>
    <w:rsid w:val="00C76180"/>
    <w:rsid w:val="00C76F2B"/>
    <w:rsid w:val="00C8086B"/>
    <w:rsid w:val="00C813BF"/>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3C76"/>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06B0E"/>
    <w:rsid w:val="00D12209"/>
    <w:rsid w:val="00D1447E"/>
    <w:rsid w:val="00D15A58"/>
    <w:rsid w:val="00D164B7"/>
    <w:rsid w:val="00D1747A"/>
    <w:rsid w:val="00D205D0"/>
    <w:rsid w:val="00D21306"/>
    <w:rsid w:val="00D2151A"/>
    <w:rsid w:val="00D22151"/>
    <w:rsid w:val="00D240AB"/>
    <w:rsid w:val="00D25CA2"/>
    <w:rsid w:val="00D25F9C"/>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108"/>
    <w:rsid w:val="00D544FE"/>
    <w:rsid w:val="00D5596F"/>
    <w:rsid w:val="00D56F3F"/>
    <w:rsid w:val="00D60FA0"/>
    <w:rsid w:val="00D61F13"/>
    <w:rsid w:val="00D62134"/>
    <w:rsid w:val="00D62BB8"/>
    <w:rsid w:val="00D64767"/>
    <w:rsid w:val="00D651F8"/>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4"/>
    <w:rsid w:val="00D92C6A"/>
    <w:rsid w:val="00D95330"/>
    <w:rsid w:val="00DA12AB"/>
    <w:rsid w:val="00DA1A1F"/>
    <w:rsid w:val="00DA1A93"/>
    <w:rsid w:val="00DA7973"/>
    <w:rsid w:val="00DB037D"/>
    <w:rsid w:val="00DB3689"/>
    <w:rsid w:val="00DB3767"/>
    <w:rsid w:val="00DB39E0"/>
    <w:rsid w:val="00DB3E9E"/>
    <w:rsid w:val="00DB5DE3"/>
    <w:rsid w:val="00DB6F8B"/>
    <w:rsid w:val="00DB707A"/>
    <w:rsid w:val="00DB7729"/>
    <w:rsid w:val="00DB7BB9"/>
    <w:rsid w:val="00DC04BF"/>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47D7"/>
    <w:rsid w:val="00DE5939"/>
    <w:rsid w:val="00DE6492"/>
    <w:rsid w:val="00DE7200"/>
    <w:rsid w:val="00DF1378"/>
    <w:rsid w:val="00DF365A"/>
    <w:rsid w:val="00DF4CBC"/>
    <w:rsid w:val="00DF5370"/>
    <w:rsid w:val="00DF586E"/>
    <w:rsid w:val="00DF6961"/>
    <w:rsid w:val="00DF7E4D"/>
    <w:rsid w:val="00E0032E"/>
    <w:rsid w:val="00E0205D"/>
    <w:rsid w:val="00E0313E"/>
    <w:rsid w:val="00E03E15"/>
    <w:rsid w:val="00E0491A"/>
    <w:rsid w:val="00E05407"/>
    <w:rsid w:val="00E0557E"/>
    <w:rsid w:val="00E05E92"/>
    <w:rsid w:val="00E1018A"/>
    <w:rsid w:val="00E10E69"/>
    <w:rsid w:val="00E120F4"/>
    <w:rsid w:val="00E13051"/>
    <w:rsid w:val="00E136D8"/>
    <w:rsid w:val="00E153F6"/>
    <w:rsid w:val="00E15F7E"/>
    <w:rsid w:val="00E173DF"/>
    <w:rsid w:val="00E248EB"/>
    <w:rsid w:val="00E2626C"/>
    <w:rsid w:val="00E27FC2"/>
    <w:rsid w:val="00E31912"/>
    <w:rsid w:val="00E31B60"/>
    <w:rsid w:val="00E34D88"/>
    <w:rsid w:val="00E353DB"/>
    <w:rsid w:val="00E36116"/>
    <w:rsid w:val="00E36375"/>
    <w:rsid w:val="00E37A8B"/>
    <w:rsid w:val="00E40D48"/>
    <w:rsid w:val="00E40DBF"/>
    <w:rsid w:val="00E40FBE"/>
    <w:rsid w:val="00E42C98"/>
    <w:rsid w:val="00E436A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AC1"/>
    <w:rsid w:val="00E71B00"/>
    <w:rsid w:val="00E71B98"/>
    <w:rsid w:val="00E724C6"/>
    <w:rsid w:val="00E73C7F"/>
    <w:rsid w:val="00E73D86"/>
    <w:rsid w:val="00E740D9"/>
    <w:rsid w:val="00E76BCA"/>
    <w:rsid w:val="00E76F9D"/>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27CB"/>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08CA"/>
    <w:rsid w:val="00EE3EE2"/>
    <w:rsid w:val="00EE5769"/>
    <w:rsid w:val="00EE5CA6"/>
    <w:rsid w:val="00EE638E"/>
    <w:rsid w:val="00EE6916"/>
    <w:rsid w:val="00EF0D35"/>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018"/>
    <w:rsid w:val="00F2489A"/>
    <w:rsid w:val="00F25BEF"/>
    <w:rsid w:val="00F270BA"/>
    <w:rsid w:val="00F308AF"/>
    <w:rsid w:val="00F32911"/>
    <w:rsid w:val="00F337F8"/>
    <w:rsid w:val="00F3464D"/>
    <w:rsid w:val="00F34AA7"/>
    <w:rsid w:val="00F34C35"/>
    <w:rsid w:val="00F35C46"/>
    <w:rsid w:val="00F36774"/>
    <w:rsid w:val="00F4004F"/>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398F"/>
    <w:rsid w:val="00F544AB"/>
    <w:rsid w:val="00F545B9"/>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85803"/>
    <w:rsid w:val="00F90E30"/>
    <w:rsid w:val="00F917E4"/>
    <w:rsid w:val="00F91B00"/>
    <w:rsid w:val="00F93CD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599D"/>
    <w:rsid w:val="00FB79F1"/>
    <w:rsid w:val="00FB7E5A"/>
    <w:rsid w:val="00FC07B8"/>
    <w:rsid w:val="00FC13D8"/>
    <w:rsid w:val="00FC4C09"/>
    <w:rsid w:val="00FC6E54"/>
    <w:rsid w:val="00FC7CEC"/>
    <w:rsid w:val="00FC7E40"/>
    <w:rsid w:val="00FD1379"/>
    <w:rsid w:val="00FD33A2"/>
    <w:rsid w:val="00FD6206"/>
    <w:rsid w:val="00FE09E7"/>
    <w:rsid w:val="00FE2161"/>
    <w:rsid w:val="00FE2F96"/>
    <w:rsid w:val="00FE3D39"/>
    <w:rsid w:val="00FE58B6"/>
    <w:rsid w:val="00FE7430"/>
    <w:rsid w:val="00FF0471"/>
    <w:rsid w:val="00FF0771"/>
    <w:rsid w:val="00FF0AAD"/>
    <w:rsid w:val="00FF29CE"/>
    <w:rsid w:val="00FF2E7C"/>
    <w:rsid w:val="00FF33F4"/>
    <w:rsid w:val="00FF3FC8"/>
    <w:rsid w:val="01025942"/>
    <w:rsid w:val="01050398"/>
    <w:rsid w:val="010B71C0"/>
    <w:rsid w:val="0119785A"/>
    <w:rsid w:val="013968D1"/>
    <w:rsid w:val="01506F31"/>
    <w:rsid w:val="016F2955"/>
    <w:rsid w:val="018506D5"/>
    <w:rsid w:val="01A75210"/>
    <w:rsid w:val="01AA59AD"/>
    <w:rsid w:val="01B0359E"/>
    <w:rsid w:val="01C4635E"/>
    <w:rsid w:val="01E06294"/>
    <w:rsid w:val="01EF704C"/>
    <w:rsid w:val="01F5015D"/>
    <w:rsid w:val="01F82C80"/>
    <w:rsid w:val="02090528"/>
    <w:rsid w:val="02096E03"/>
    <w:rsid w:val="020C0D2B"/>
    <w:rsid w:val="020E2CC9"/>
    <w:rsid w:val="020E4B49"/>
    <w:rsid w:val="021A15C5"/>
    <w:rsid w:val="024359A3"/>
    <w:rsid w:val="024E7C57"/>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27122D"/>
    <w:rsid w:val="042A7CB3"/>
    <w:rsid w:val="04312B72"/>
    <w:rsid w:val="043524D4"/>
    <w:rsid w:val="04405CD4"/>
    <w:rsid w:val="04695804"/>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C1585"/>
    <w:rsid w:val="06FD17FF"/>
    <w:rsid w:val="070A40A7"/>
    <w:rsid w:val="07164CDD"/>
    <w:rsid w:val="072E7088"/>
    <w:rsid w:val="07332E45"/>
    <w:rsid w:val="07382205"/>
    <w:rsid w:val="07393CB3"/>
    <w:rsid w:val="073F0F06"/>
    <w:rsid w:val="074D195F"/>
    <w:rsid w:val="074F610E"/>
    <w:rsid w:val="075670CC"/>
    <w:rsid w:val="075A40CD"/>
    <w:rsid w:val="07645E7E"/>
    <w:rsid w:val="077B05C1"/>
    <w:rsid w:val="077D282A"/>
    <w:rsid w:val="07815AA2"/>
    <w:rsid w:val="07976070"/>
    <w:rsid w:val="079F56BE"/>
    <w:rsid w:val="07BF02A8"/>
    <w:rsid w:val="07C771F6"/>
    <w:rsid w:val="07D84B18"/>
    <w:rsid w:val="07DB31F6"/>
    <w:rsid w:val="07F543BF"/>
    <w:rsid w:val="08036844"/>
    <w:rsid w:val="08102698"/>
    <w:rsid w:val="08244160"/>
    <w:rsid w:val="083828A5"/>
    <w:rsid w:val="085267E1"/>
    <w:rsid w:val="08634AA9"/>
    <w:rsid w:val="086A0D8F"/>
    <w:rsid w:val="08710FA8"/>
    <w:rsid w:val="08744BDF"/>
    <w:rsid w:val="08770A76"/>
    <w:rsid w:val="08865F0F"/>
    <w:rsid w:val="08870B03"/>
    <w:rsid w:val="08AF2D81"/>
    <w:rsid w:val="08B903BA"/>
    <w:rsid w:val="08F85767"/>
    <w:rsid w:val="09011172"/>
    <w:rsid w:val="09253E9C"/>
    <w:rsid w:val="0929781C"/>
    <w:rsid w:val="09324291"/>
    <w:rsid w:val="093E52CA"/>
    <w:rsid w:val="094C6636"/>
    <w:rsid w:val="095438C6"/>
    <w:rsid w:val="09591856"/>
    <w:rsid w:val="0962097D"/>
    <w:rsid w:val="09646A02"/>
    <w:rsid w:val="096F2450"/>
    <w:rsid w:val="0988751F"/>
    <w:rsid w:val="098B1EF5"/>
    <w:rsid w:val="09911B95"/>
    <w:rsid w:val="09920627"/>
    <w:rsid w:val="09945F3A"/>
    <w:rsid w:val="09A17370"/>
    <w:rsid w:val="09CB5A6C"/>
    <w:rsid w:val="09CC0ECD"/>
    <w:rsid w:val="09CF7F1B"/>
    <w:rsid w:val="09F00BD8"/>
    <w:rsid w:val="09F318B6"/>
    <w:rsid w:val="09FD6E02"/>
    <w:rsid w:val="0A007BC0"/>
    <w:rsid w:val="0A0F646A"/>
    <w:rsid w:val="0A1A74F5"/>
    <w:rsid w:val="0A1D73FF"/>
    <w:rsid w:val="0A3737D9"/>
    <w:rsid w:val="0A565AA7"/>
    <w:rsid w:val="0A750F68"/>
    <w:rsid w:val="0A8417D4"/>
    <w:rsid w:val="0A86386A"/>
    <w:rsid w:val="0AA020FD"/>
    <w:rsid w:val="0AAF1AA0"/>
    <w:rsid w:val="0AC67D7E"/>
    <w:rsid w:val="0ACF6319"/>
    <w:rsid w:val="0AE61C59"/>
    <w:rsid w:val="0AEC356E"/>
    <w:rsid w:val="0AF22A25"/>
    <w:rsid w:val="0B1316BA"/>
    <w:rsid w:val="0B1355F4"/>
    <w:rsid w:val="0B310DA2"/>
    <w:rsid w:val="0B3C6F27"/>
    <w:rsid w:val="0B545B44"/>
    <w:rsid w:val="0B99346A"/>
    <w:rsid w:val="0BA10DE5"/>
    <w:rsid w:val="0BFA17A2"/>
    <w:rsid w:val="0BFC2A25"/>
    <w:rsid w:val="0C0165D0"/>
    <w:rsid w:val="0C340FF3"/>
    <w:rsid w:val="0C34609D"/>
    <w:rsid w:val="0C4A196E"/>
    <w:rsid w:val="0C567D3B"/>
    <w:rsid w:val="0C642A47"/>
    <w:rsid w:val="0C6647F7"/>
    <w:rsid w:val="0C8C150A"/>
    <w:rsid w:val="0C9336AD"/>
    <w:rsid w:val="0CA53137"/>
    <w:rsid w:val="0CB81801"/>
    <w:rsid w:val="0CBA1583"/>
    <w:rsid w:val="0CBC415D"/>
    <w:rsid w:val="0CD243C7"/>
    <w:rsid w:val="0CD249CC"/>
    <w:rsid w:val="0CE51606"/>
    <w:rsid w:val="0CF52DBF"/>
    <w:rsid w:val="0CF61E89"/>
    <w:rsid w:val="0CF7688D"/>
    <w:rsid w:val="0CFD527E"/>
    <w:rsid w:val="0D041E6A"/>
    <w:rsid w:val="0D090861"/>
    <w:rsid w:val="0D0E19EB"/>
    <w:rsid w:val="0D1D2AE7"/>
    <w:rsid w:val="0D357E7D"/>
    <w:rsid w:val="0D3C7F74"/>
    <w:rsid w:val="0D442DD2"/>
    <w:rsid w:val="0D5B0F26"/>
    <w:rsid w:val="0D681B8E"/>
    <w:rsid w:val="0D9222C1"/>
    <w:rsid w:val="0DBA2F7C"/>
    <w:rsid w:val="0DC045AB"/>
    <w:rsid w:val="0DD92335"/>
    <w:rsid w:val="0DDF724E"/>
    <w:rsid w:val="0DF64AC8"/>
    <w:rsid w:val="0DFA6C9B"/>
    <w:rsid w:val="0DFF7D07"/>
    <w:rsid w:val="0E1D3CF9"/>
    <w:rsid w:val="0E1F2CA5"/>
    <w:rsid w:val="0E311F6B"/>
    <w:rsid w:val="0E374CA0"/>
    <w:rsid w:val="0E5E7E63"/>
    <w:rsid w:val="0E6846C0"/>
    <w:rsid w:val="0E6E28AC"/>
    <w:rsid w:val="0E6F0740"/>
    <w:rsid w:val="0EC0431F"/>
    <w:rsid w:val="0EEE6380"/>
    <w:rsid w:val="0EFC2191"/>
    <w:rsid w:val="0F2942AD"/>
    <w:rsid w:val="0F321E2D"/>
    <w:rsid w:val="0F381B5C"/>
    <w:rsid w:val="0F381C0D"/>
    <w:rsid w:val="0F39132F"/>
    <w:rsid w:val="0F4E2E70"/>
    <w:rsid w:val="0F6715A1"/>
    <w:rsid w:val="0F8070F6"/>
    <w:rsid w:val="0F9426FF"/>
    <w:rsid w:val="0FA731D6"/>
    <w:rsid w:val="0FCD5B50"/>
    <w:rsid w:val="0FCF7FFE"/>
    <w:rsid w:val="0FDF11CF"/>
    <w:rsid w:val="10022935"/>
    <w:rsid w:val="101B368A"/>
    <w:rsid w:val="10232DBB"/>
    <w:rsid w:val="10310363"/>
    <w:rsid w:val="103246BB"/>
    <w:rsid w:val="103F55E5"/>
    <w:rsid w:val="104B7348"/>
    <w:rsid w:val="10645DE6"/>
    <w:rsid w:val="10881228"/>
    <w:rsid w:val="108C2AA3"/>
    <w:rsid w:val="109F7527"/>
    <w:rsid w:val="10B2330B"/>
    <w:rsid w:val="10D33BE3"/>
    <w:rsid w:val="10D67850"/>
    <w:rsid w:val="10DE14BF"/>
    <w:rsid w:val="10DF3115"/>
    <w:rsid w:val="10F123ED"/>
    <w:rsid w:val="113E3C41"/>
    <w:rsid w:val="11410CBD"/>
    <w:rsid w:val="115043F2"/>
    <w:rsid w:val="11793F32"/>
    <w:rsid w:val="11821291"/>
    <w:rsid w:val="118A55A0"/>
    <w:rsid w:val="11B5797D"/>
    <w:rsid w:val="11C5124A"/>
    <w:rsid w:val="11DD4AE3"/>
    <w:rsid w:val="11E15AE5"/>
    <w:rsid w:val="11E53E9B"/>
    <w:rsid w:val="11F012BE"/>
    <w:rsid w:val="11FC5F30"/>
    <w:rsid w:val="11FD2BC7"/>
    <w:rsid w:val="120048B1"/>
    <w:rsid w:val="12015140"/>
    <w:rsid w:val="12071CB6"/>
    <w:rsid w:val="121B7761"/>
    <w:rsid w:val="122B4B32"/>
    <w:rsid w:val="122F325C"/>
    <w:rsid w:val="12394E59"/>
    <w:rsid w:val="124D1BBE"/>
    <w:rsid w:val="126C4E03"/>
    <w:rsid w:val="12866079"/>
    <w:rsid w:val="1292309E"/>
    <w:rsid w:val="1299671F"/>
    <w:rsid w:val="12A7274E"/>
    <w:rsid w:val="12A742B1"/>
    <w:rsid w:val="12C40C84"/>
    <w:rsid w:val="12E63AB1"/>
    <w:rsid w:val="13015EE9"/>
    <w:rsid w:val="13052330"/>
    <w:rsid w:val="1307111C"/>
    <w:rsid w:val="130A369F"/>
    <w:rsid w:val="131813A1"/>
    <w:rsid w:val="132B665F"/>
    <w:rsid w:val="132E7530"/>
    <w:rsid w:val="133632A1"/>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17A5"/>
    <w:rsid w:val="14914304"/>
    <w:rsid w:val="14993B21"/>
    <w:rsid w:val="14B66F07"/>
    <w:rsid w:val="14B83A99"/>
    <w:rsid w:val="14D73601"/>
    <w:rsid w:val="14DF00CB"/>
    <w:rsid w:val="14F63CC2"/>
    <w:rsid w:val="15014A40"/>
    <w:rsid w:val="15250C4F"/>
    <w:rsid w:val="153546E2"/>
    <w:rsid w:val="15442AC7"/>
    <w:rsid w:val="154C7EE1"/>
    <w:rsid w:val="155C2B38"/>
    <w:rsid w:val="15667345"/>
    <w:rsid w:val="156B4B8B"/>
    <w:rsid w:val="15760999"/>
    <w:rsid w:val="15890495"/>
    <w:rsid w:val="15B10A89"/>
    <w:rsid w:val="15B63481"/>
    <w:rsid w:val="15B77963"/>
    <w:rsid w:val="15CB3D7D"/>
    <w:rsid w:val="15E03D6F"/>
    <w:rsid w:val="15EE6FF0"/>
    <w:rsid w:val="15EF5060"/>
    <w:rsid w:val="15FC5AC1"/>
    <w:rsid w:val="162017A0"/>
    <w:rsid w:val="16242B8A"/>
    <w:rsid w:val="16253D65"/>
    <w:rsid w:val="16540151"/>
    <w:rsid w:val="168179E1"/>
    <w:rsid w:val="16950091"/>
    <w:rsid w:val="169C366A"/>
    <w:rsid w:val="16AC419C"/>
    <w:rsid w:val="16D66E0B"/>
    <w:rsid w:val="16DA1E4D"/>
    <w:rsid w:val="16E0070F"/>
    <w:rsid w:val="16FB015A"/>
    <w:rsid w:val="17003574"/>
    <w:rsid w:val="17156A85"/>
    <w:rsid w:val="172A2D62"/>
    <w:rsid w:val="1747120E"/>
    <w:rsid w:val="174D14CA"/>
    <w:rsid w:val="17535B24"/>
    <w:rsid w:val="17A31370"/>
    <w:rsid w:val="17B06B1C"/>
    <w:rsid w:val="17EF3A1C"/>
    <w:rsid w:val="17F53DC6"/>
    <w:rsid w:val="17F87714"/>
    <w:rsid w:val="180B4FFB"/>
    <w:rsid w:val="180C7659"/>
    <w:rsid w:val="181275EA"/>
    <w:rsid w:val="18211C57"/>
    <w:rsid w:val="18364CAB"/>
    <w:rsid w:val="1842664F"/>
    <w:rsid w:val="18543673"/>
    <w:rsid w:val="186B7D0B"/>
    <w:rsid w:val="18881EEC"/>
    <w:rsid w:val="188A5BC4"/>
    <w:rsid w:val="189814AF"/>
    <w:rsid w:val="189B1AC4"/>
    <w:rsid w:val="189D065F"/>
    <w:rsid w:val="18BB597B"/>
    <w:rsid w:val="18BC6F6C"/>
    <w:rsid w:val="18C01B32"/>
    <w:rsid w:val="18CD04E3"/>
    <w:rsid w:val="18EA5D1A"/>
    <w:rsid w:val="18ED2369"/>
    <w:rsid w:val="18F32BCE"/>
    <w:rsid w:val="18FC4F8D"/>
    <w:rsid w:val="18FF4ABB"/>
    <w:rsid w:val="19333441"/>
    <w:rsid w:val="19343406"/>
    <w:rsid w:val="1948134D"/>
    <w:rsid w:val="195321B0"/>
    <w:rsid w:val="196A5BEB"/>
    <w:rsid w:val="1971162E"/>
    <w:rsid w:val="19996CBC"/>
    <w:rsid w:val="19AB1A54"/>
    <w:rsid w:val="19C82FCD"/>
    <w:rsid w:val="19CB22A6"/>
    <w:rsid w:val="1A2126DE"/>
    <w:rsid w:val="1A244281"/>
    <w:rsid w:val="1A25551B"/>
    <w:rsid w:val="1A3C3B2C"/>
    <w:rsid w:val="1A45032B"/>
    <w:rsid w:val="1A5F166A"/>
    <w:rsid w:val="1A640E62"/>
    <w:rsid w:val="1A694128"/>
    <w:rsid w:val="1A713779"/>
    <w:rsid w:val="1A84217D"/>
    <w:rsid w:val="1A907673"/>
    <w:rsid w:val="1A9B1F53"/>
    <w:rsid w:val="1AA050D1"/>
    <w:rsid w:val="1AAA100F"/>
    <w:rsid w:val="1ABB54B3"/>
    <w:rsid w:val="1ABD41C4"/>
    <w:rsid w:val="1ABF4539"/>
    <w:rsid w:val="1AE025B8"/>
    <w:rsid w:val="1AF115C7"/>
    <w:rsid w:val="1B3D4012"/>
    <w:rsid w:val="1B481AFB"/>
    <w:rsid w:val="1B747F6C"/>
    <w:rsid w:val="1B7A1663"/>
    <w:rsid w:val="1B8F6978"/>
    <w:rsid w:val="1BA669C0"/>
    <w:rsid w:val="1BB90A65"/>
    <w:rsid w:val="1BBA3DCF"/>
    <w:rsid w:val="1BC27038"/>
    <w:rsid w:val="1BC73993"/>
    <w:rsid w:val="1BD24B16"/>
    <w:rsid w:val="1BF62321"/>
    <w:rsid w:val="1C0B106F"/>
    <w:rsid w:val="1C130C67"/>
    <w:rsid w:val="1C1A3F41"/>
    <w:rsid w:val="1C2D5D31"/>
    <w:rsid w:val="1C327AED"/>
    <w:rsid w:val="1C54717B"/>
    <w:rsid w:val="1C696E9C"/>
    <w:rsid w:val="1C8B6D34"/>
    <w:rsid w:val="1CB06E2E"/>
    <w:rsid w:val="1CBD093F"/>
    <w:rsid w:val="1CC83450"/>
    <w:rsid w:val="1CE21C50"/>
    <w:rsid w:val="1CE46BE4"/>
    <w:rsid w:val="1CE721D9"/>
    <w:rsid w:val="1CE9601A"/>
    <w:rsid w:val="1D0C0640"/>
    <w:rsid w:val="1D235F66"/>
    <w:rsid w:val="1D431DF8"/>
    <w:rsid w:val="1D60463E"/>
    <w:rsid w:val="1D665A9E"/>
    <w:rsid w:val="1D667D51"/>
    <w:rsid w:val="1D683FDD"/>
    <w:rsid w:val="1D8111B9"/>
    <w:rsid w:val="1D8D3AB3"/>
    <w:rsid w:val="1DA66600"/>
    <w:rsid w:val="1DC566C0"/>
    <w:rsid w:val="1DD91315"/>
    <w:rsid w:val="1DE501D0"/>
    <w:rsid w:val="1E21472F"/>
    <w:rsid w:val="1E2222B2"/>
    <w:rsid w:val="1E2442EB"/>
    <w:rsid w:val="1E2804C4"/>
    <w:rsid w:val="1E2C49A1"/>
    <w:rsid w:val="1E353BD7"/>
    <w:rsid w:val="1E3722FA"/>
    <w:rsid w:val="1E3D489B"/>
    <w:rsid w:val="1E691E83"/>
    <w:rsid w:val="1E7D17BD"/>
    <w:rsid w:val="1E8146DA"/>
    <w:rsid w:val="1E9B0132"/>
    <w:rsid w:val="1EA46EA2"/>
    <w:rsid w:val="1EAA1D55"/>
    <w:rsid w:val="1EAA39F6"/>
    <w:rsid w:val="1EB2633F"/>
    <w:rsid w:val="1EB847E9"/>
    <w:rsid w:val="1EBB4A21"/>
    <w:rsid w:val="1EC4699D"/>
    <w:rsid w:val="1ED677DD"/>
    <w:rsid w:val="1EEA12FF"/>
    <w:rsid w:val="1F100AE0"/>
    <w:rsid w:val="1F1A0416"/>
    <w:rsid w:val="1F1D6195"/>
    <w:rsid w:val="1F264681"/>
    <w:rsid w:val="1F290E96"/>
    <w:rsid w:val="1F3071E0"/>
    <w:rsid w:val="1F63560E"/>
    <w:rsid w:val="1F6C499D"/>
    <w:rsid w:val="1F8E0455"/>
    <w:rsid w:val="1F9C50C7"/>
    <w:rsid w:val="1FA76059"/>
    <w:rsid w:val="1FAF272D"/>
    <w:rsid w:val="1FD3538A"/>
    <w:rsid w:val="1FDB17D6"/>
    <w:rsid w:val="1FDF5582"/>
    <w:rsid w:val="1FE374E8"/>
    <w:rsid w:val="1FEA00B9"/>
    <w:rsid w:val="1FFC5344"/>
    <w:rsid w:val="200349B2"/>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F5646"/>
    <w:rsid w:val="22737892"/>
    <w:rsid w:val="229A0A46"/>
    <w:rsid w:val="22B62DEF"/>
    <w:rsid w:val="22BD0C78"/>
    <w:rsid w:val="22D5441E"/>
    <w:rsid w:val="22D61F71"/>
    <w:rsid w:val="22DF5232"/>
    <w:rsid w:val="2302327F"/>
    <w:rsid w:val="23045D7E"/>
    <w:rsid w:val="232660FF"/>
    <w:rsid w:val="23436373"/>
    <w:rsid w:val="23494A52"/>
    <w:rsid w:val="23535416"/>
    <w:rsid w:val="23595DDA"/>
    <w:rsid w:val="236126D8"/>
    <w:rsid w:val="236606E8"/>
    <w:rsid w:val="237B12D0"/>
    <w:rsid w:val="23BE01FF"/>
    <w:rsid w:val="2418652F"/>
    <w:rsid w:val="242D74E9"/>
    <w:rsid w:val="2431046E"/>
    <w:rsid w:val="244264A1"/>
    <w:rsid w:val="2448414E"/>
    <w:rsid w:val="24530C18"/>
    <w:rsid w:val="245646BC"/>
    <w:rsid w:val="245878EC"/>
    <w:rsid w:val="245A1846"/>
    <w:rsid w:val="24844675"/>
    <w:rsid w:val="248512BD"/>
    <w:rsid w:val="24BE3459"/>
    <w:rsid w:val="24C104F6"/>
    <w:rsid w:val="24D63AFE"/>
    <w:rsid w:val="24DF29CF"/>
    <w:rsid w:val="24E51B39"/>
    <w:rsid w:val="25173A41"/>
    <w:rsid w:val="252469E8"/>
    <w:rsid w:val="252D5DCC"/>
    <w:rsid w:val="25411FC4"/>
    <w:rsid w:val="254748DD"/>
    <w:rsid w:val="254945E1"/>
    <w:rsid w:val="254B28B2"/>
    <w:rsid w:val="255B75CB"/>
    <w:rsid w:val="256A6DD5"/>
    <w:rsid w:val="25841D88"/>
    <w:rsid w:val="258C4EA7"/>
    <w:rsid w:val="25A45302"/>
    <w:rsid w:val="25A94E88"/>
    <w:rsid w:val="25B10343"/>
    <w:rsid w:val="25C84E2B"/>
    <w:rsid w:val="25DB25D6"/>
    <w:rsid w:val="25E135DF"/>
    <w:rsid w:val="260C4D1F"/>
    <w:rsid w:val="261E413F"/>
    <w:rsid w:val="263E633F"/>
    <w:rsid w:val="26762541"/>
    <w:rsid w:val="267E599C"/>
    <w:rsid w:val="26822ABE"/>
    <w:rsid w:val="26995B41"/>
    <w:rsid w:val="269D34A1"/>
    <w:rsid w:val="26C17FC8"/>
    <w:rsid w:val="26C928C5"/>
    <w:rsid w:val="26D04B06"/>
    <w:rsid w:val="26EF0705"/>
    <w:rsid w:val="26FE539F"/>
    <w:rsid w:val="27095393"/>
    <w:rsid w:val="27275D45"/>
    <w:rsid w:val="273B1015"/>
    <w:rsid w:val="27771F24"/>
    <w:rsid w:val="27B132D6"/>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CA4643"/>
    <w:rsid w:val="2AEF591F"/>
    <w:rsid w:val="2AF83859"/>
    <w:rsid w:val="2B176E25"/>
    <w:rsid w:val="2B21467C"/>
    <w:rsid w:val="2B2348E2"/>
    <w:rsid w:val="2B3A310E"/>
    <w:rsid w:val="2B410587"/>
    <w:rsid w:val="2B4C6CEA"/>
    <w:rsid w:val="2B5448AD"/>
    <w:rsid w:val="2B576EDE"/>
    <w:rsid w:val="2B5D0645"/>
    <w:rsid w:val="2B907720"/>
    <w:rsid w:val="2BA863D1"/>
    <w:rsid w:val="2BA90046"/>
    <w:rsid w:val="2BAA609E"/>
    <w:rsid w:val="2BBA261C"/>
    <w:rsid w:val="2BCD0751"/>
    <w:rsid w:val="2BE43677"/>
    <w:rsid w:val="2BF01B92"/>
    <w:rsid w:val="2C0131AF"/>
    <w:rsid w:val="2C22393C"/>
    <w:rsid w:val="2C227360"/>
    <w:rsid w:val="2C463D8D"/>
    <w:rsid w:val="2C5C6E0B"/>
    <w:rsid w:val="2C6E5248"/>
    <w:rsid w:val="2C7F2EA6"/>
    <w:rsid w:val="2C8C2358"/>
    <w:rsid w:val="2C8E4E6A"/>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5627A8"/>
    <w:rsid w:val="2D6762C1"/>
    <w:rsid w:val="2D8D29A8"/>
    <w:rsid w:val="2D8F386F"/>
    <w:rsid w:val="2D9A6090"/>
    <w:rsid w:val="2D9D6E66"/>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57C09"/>
    <w:rsid w:val="2E897DEB"/>
    <w:rsid w:val="2E992307"/>
    <w:rsid w:val="2EAF6471"/>
    <w:rsid w:val="2EB97B04"/>
    <w:rsid w:val="2EC27772"/>
    <w:rsid w:val="2ED0428B"/>
    <w:rsid w:val="2EF02B88"/>
    <w:rsid w:val="2EF907D3"/>
    <w:rsid w:val="2EFF1F1A"/>
    <w:rsid w:val="2F012849"/>
    <w:rsid w:val="2F09781C"/>
    <w:rsid w:val="2F1576F6"/>
    <w:rsid w:val="2F1E617D"/>
    <w:rsid w:val="2F263E1B"/>
    <w:rsid w:val="2F337D9E"/>
    <w:rsid w:val="2F426AF3"/>
    <w:rsid w:val="2F431BA3"/>
    <w:rsid w:val="2F523EF2"/>
    <w:rsid w:val="2F566428"/>
    <w:rsid w:val="2F5E7ECD"/>
    <w:rsid w:val="2F845833"/>
    <w:rsid w:val="2FDD2280"/>
    <w:rsid w:val="2FDE483F"/>
    <w:rsid w:val="300160A4"/>
    <w:rsid w:val="3003631E"/>
    <w:rsid w:val="304212B8"/>
    <w:rsid w:val="306955F7"/>
    <w:rsid w:val="30745F5B"/>
    <w:rsid w:val="3078124A"/>
    <w:rsid w:val="3090209F"/>
    <w:rsid w:val="30917A60"/>
    <w:rsid w:val="30953FB5"/>
    <w:rsid w:val="30971606"/>
    <w:rsid w:val="30A214AF"/>
    <w:rsid w:val="30B8556A"/>
    <w:rsid w:val="30B900CD"/>
    <w:rsid w:val="30C279CF"/>
    <w:rsid w:val="30ED2D91"/>
    <w:rsid w:val="30EF2DA4"/>
    <w:rsid w:val="312E5D97"/>
    <w:rsid w:val="313169C2"/>
    <w:rsid w:val="31623402"/>
    <w:rsid w:val="316E0E8D"/>
    <w:rsid w:val="31982EEE"/>
    <w:rsid w:val="31AF1987"/>
    <w:rsid w:val="31B02B79"/>
    <w:rsid w:val="31B75425"/>
    <w:rsid w:val="31CE72B0"/>
    <w:rsid w:val="31EB4942"/>
    <w:rsid w:val="31EC5E5F"/>
    <w:rsid w:val="32187B45"/>
    <w:rsid w:val="32220B29"/>
    <w:rsid w:val="32362071"/>
    <w:rsid w:val="3273050E"/>
    <w:rsid w:val="32891F62"/>
    <w:rsid w:val="328C1583"/>
    <w:rsid w:val="32B64C1D"/>
    <w:rsid w:val="32BA6C6C"/>
    <w:rsid w:val="32C9080C"/>
    <w:rsid w:val="32CA0CF4"/>
    <w:rsid w:val="32D64AF4"/>
    <w:rsid w:val="32F9608D"/>
    <w:rsid w:val="334275F5"/>
    <w:rsid w:val="33636F14"/>
    <w:rsid w:val="33670485"/>
    <w:rsid w:val="3397329C"/>
    <w:rsid w:val="33C54618"/>
    <w:rsid w:val="33FB1FED"/>
    <w:rsid w:val="34023978"/>
    <w:rsid w:val="34211C7C"/>
    <w:rsid w:val="347A4EB8"/>
    <w:rsid w:val="34914DCA"/>
    <w:rsid w:val="349C5E6F"/>
    <w:rsid w:val="349C69D5"/>
    <w:rsid w:val="34D6435D"/>
    <w:rsid w:val="34DB6560"/>
    <w:rsid w:val="34DE25EF"/>
    <w:rsid w:val="34EA7380"/>
    <w:rsid w:val="34F44FA8"/>
    <w:rsid w:val="34FC0B46"/>
    <w:rsid w:val="35183D8B"/>
    <w:rsid w:val="35372DA8"/>
    <w:rsid w:val="35387D52"/>
    <w:rsid w:val="353B71E2"/>
    <w:rsid w:val="354D1271"/>
    <w:rsid w:val="35523D5A"/>
    <w:rsid w:val="355E4119"/>
    <w:rsid w:val="356926AE"/>
    <w:rsid w:val="35746D1B"/>
    <w:rsid w:val="358E0757"/>
    <w:rsid w:val="35A75E40"/>
    <w:rsid w:val="35AE7101"/>
    <w:rsid w:val="35B81C2A"/>
    <w:rsid w:val="35BB43C3"/>
    <w:rsid w:val="35D02D69"/>
    <w:rsid w:val="35D82561"/>
    <w:rsid w:val="35D83305"/>
    <w:rsid w:val="35F9212A"/>
    <w:rsid w:val="3601079E"/>
    <w:rsid w:val="36015D82"/>
    <w:rsid w:val="361E5856"/>
    <w:rsid w:val="36281B26"/>
    <w:rsid w:val="36336C04"/>
    <w:rsid w:val="36394AEE"/>
    <w:rsid w:val="366043F8"/>
    <w:rsid w:val="3660698F"/>
    <w:rsid w:val="366626F2"/>
    <w:rsid w:val="366D4E20"/>
    <w:rsid w:val="366E02F1"/>
    <w:rsid w:val="369176BA"/>
    <w:rsid w:val="369564B2"/>
    <w:rsid w:val="369D6E52"/>
    <w:rsid w:val="36B634DA"/>
    <w:rsid w:val="36BC0DF7"/>
    <w:rsid w:val="36C63FD4"/>
    <w:rsid w:val="36D74E42"/>
    <w:rsid w:val="36DE1E02"/>
    <w:rsid w:val="36DF5285"/>
    <w:rsid w:val="36E75229"/>
    <w:rsid w:val="36EC0BD4"/>
    <w:rsid w:val="36FC4BE2"/>
    <w:rsid w:val="372443AF"/>
    <w:rsid w:val="372B665E"/>
    <w:rsid w:val="374F6194"/>
    <w:rsid w:val="37503514"/>
    <w:rsid w:val="376F651B"/>
    <w:rsid w:val="377F6041"/>
    <w:rsid w:val="37816AB2"/>
    <w:rsid w:val="379E1FBB"/>
    <w:rsid w:val="37A0608C"/>
    <w:rsid w:val="37BC7D72"/>
    <w:rsid w:val="37D133A4"/>
    <w:rsid w:val="37E15A1B"/>
    <w:rsid w:val="38152E21"/>
    <w:rsid w:val="38157E33"/>
    <w:rsid w:val="381D6FF3"/>
    <w:rsid w:val="382E42A6"/>
    <w:rsid w:val="38462973"/>
    <w:rsid w:val="38482CD6"/>
    <w:rsid w:val="385A59B2"/>
    <w:rsid w:val="387722F5"/>
    <w:rsid w:val="38976BC5"/>
    <w:rsid w:val="389F3F99"/>
    <w:rsid w:val="38A75F14"/>
    <w:rsid w:val="38B70827"/>
    <w:rsid w:val="38BD2C6C"/>
    <w:rsid w:val="38C4256F"/>
    <w:rsid w:val="38CB6A4C"/>
    <w:rsid w:val="38E022B1"/>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CA0127"/>
    <w:rsid w:val="39DE0A97"/>
    <w:rsid w:val="39EF49D8"/>
    <w:rsid w:val="3A156CE0"/>
    <w:rsid w:val="3A183E5C"/>
    <w:rsid w:val="3A1F5AD1"/>
    <w:rsid w:val="3A277789"/>
    <w:rsid w:val="3A2D66D3"/>
    <w:rsid w:val="3A543231"/>
    <w:rsid w:val="3A7748F7"/>
    <w:rsid w:val="3A891A0E"/>
    <w:rsid w:val="3A9620D1"/>
    <w:rsid w:val="3A9E2E50"/>
    <w:rsid w:val="3AA26C9B"/>
    <w:rsid w:val="3AB0091A"/>
    <w:rsid w:val="3ADC5E36"/>
    <w:rsid w:val="3ADF314E"/>
    <w:rsid w:val="3AFC2B33"/>
    <w:rsid w:val="3AFC41BB"/>
    <w:rsid w:val="3B0C00BE"/>
    <w:rsid w:val="3B185B48"/>
    <w:rsid w:val="3B637411"/>
    <w:rsid w:val="3B653AFE"/>
    <w:rsid w:val="3B735ADF"/>
    <w:rsid w:val="3B7F2802"/>
    <w:rsid w:val="3B8B43E4"/>
    <w:rsid w:val="3BB1679D"/>
    <w:rsid w:val="3BB502C9"/>
    <w:rsid w:val="3BBB6CA4"/>
    <w:rsid w:val="3BC33F8E"/>
    <w:rsid w:val="3BCC3507"/>
    <w:rsid w:val="3BCE7F95"/>
    <w:rsid w:val="3BD95615"/>
    <w:rsid w:val="3BDE4187"/>
    <w:rsid w:val="3BF21467"/>
    <w:rsid w:val="3BFC1D0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F30845"/>
    <w:rsid w:val="3D0F30FA"/>
    <w:rsid w:val="3D430E91"/>
    <w:rsid w:val="3D440E50"/>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DB3C13"/>
    <w:rsid w:val="3EDF2A6A"/>
    <w:rsid w:val="3EF67A84"/>
    <w:rsid w:val="3F0875E3"/>
    <w:rsid w:val="3F09726C"/>
    <w:rsid w:val="3F0A5F75"/>
    <w:rsid w:val="3F1755AB"/>
    <w:rsid w:val="3F1F25CF"/>
    <w:rsid w:val="3F4275F7"/>
    <w:rsid w:val="3F495E7B"/>
    <w:rsid w:val="3F5B21D1"/>
    <w:rsid w:val="3F733064"/>
    <w:rsid w:val="3F73510D"/>
    <w:rsid w:val="3FA04EB3"/>
    <w:rsid w:val="3FA5504B"/>
    <w:rsid w:val="3FB60A94"/>
    <w:rsid w:val="3FBD74AC"/>
    <w:rsid w:val="3FC102E8"/>
    <w:rsid w:val="3FDB585F"/>
    <w:rsid w:val="400E3B72"/>
    <w:rsid w:val="402D7D95"/>
    <w:rsid w:val="402F67F2"/>
    <w:rsid w:val="402F7D1A"/>
    <w:rsid w:val="40584657"/>
    <w:rsid w:val="405E7B10"/>
    <w:rsid w:val="40696440"/>
    <w:rsid w:val="40864884"/>
    <w:rsid w:val="4088135F"/>
    <w:rsid w:val="4091308A"/>
    <w:rsid w:val="40945AAA"/>
    <w:rsid w:val="40AB5EBA"/>
    <w:rsid w:val="40AD5FC9"/>
    <w:rsid w:val="40E3786E"/>
    <w:rsid w:val="40E74724"/>
    <w:rsid w:val="41016736"/>
    <w:rsid w:val="411531A3"/>
    <w:rsid w:val="412550A6"/>
    <w:rsid w:val="4134460A"/>
    <w:rsid w:val="413A0F2B"/>
    <w:rsid w:val="414B0A93"/>
    <w:rsid w:val="415723A1"/>
    <w:rsid w:val="41643432"/>
    <w:rsid w:val="41741088"/>
    <w:rsid w:val="41763F11"/>
    <w:rsid w:val="41AE1418"/>
    <w:rsid w:val="42161AA2"/>
    <w:rsid w:val="42184C88"/>
    <w:rsid w:val="421B0E01"/>
    <w:rsid w:val="42205FD7"/>
    <w:rsid w:val="42397238"/>
    <w:rsid w:val="423B2CAF"/>
    <w:rsid w:val="42422394"/>
    <w:rsid w:val="42481B2A"/>
    <w:rsid w:val="42774DD9"/>
    <w:rsid w:val="428328E7"/>
    <w:rsid w:val="42A53E3B"/>
    <w:rsid w:val="42C9490E"/>
    <w:rsid w:val="42F81741"/>
    <w:rsid w:val="43685FE3"/>
    <w:rsid w:val="43725D3C"/>
    <w:rsid w:val="437447B4"/>
    <w:rsid w:val="437906BF"/>
    <w:rsid w:val="4388083B"/>
    <w:rsid w:val="43896179"/>
    <w:rsid w:val="43920F1A"/>
    <w:rsid w:val="43945CC5"/>
    <w:rsid w:val="43BC7AB7"/>
    <w:rsid w:val="43CE3BC6"/>
    <w:rsid w:val="43D75D56"/>
    <w:rsid w:val="43E334EC"/>
    <w:rsid w:val="43EE388F"/>
    <w:rsid w:val="43FB5AF0"/>
    <w:rsid w:val="440B4BBE"/>
    <w:rsid w:val="4410225F"/>
    <w:rsid w:val="44211E9A"/>
    <w:rsid w:val="44354C22"/>
    <w:rsid w:val="4454633F"/>
    <w:rsid w:val="44555A83"/>
    <w:rsid w:val="44581BD7"/>
    <w:rsid w:val="446A1C8A"/>
    <w:rsid w:val="44740E95"/>
    <w:rsid w:val="44775DC5"/>
    <w:rsid w:val="44880D36"/>
    <w:rsid w:val="448E37BC"/>
    <w:rsid w:val="44AF7E0E"/>
    <w:rsid w:val="44C70D28"/>
    <w:rsid w:val="44C8637D"/>
    <w:rsid w:val="44C97F5F"/>
    <w:rsid w:val="44CF3B35"/>
    <w:rsid w:val="44DB5939"/>
    <w:rsid w:val="44DD0B0C"/>
    <w:rsid w:val="44EA6E8B"/>
    <w:rsid w:val="44EE2D37"/>
    <w:rsid w:val="44F2313F"/>
    <w:rsid w:val="451C3731"/>
    <w:rsid w:val="452713BB"/>
    <w:rsid w:val="45465A74"/>
    <w:rsid w:val="455A0335"/>
    <w:rsid w:val="455E20DB"/>
    <w:rsid w:val="457210D8"/>
    <w:rsid w:val="45CA0122"/>
    <w:rsid w:val="45E00D4B"/>
    <w:rsid w:val="45E226B4"/>
    <w:rsid w:val="45E30915"/>
    <w:rsid w:val="45E40321"/>
    <w:rsid w:val="45FC7E93"/>
    <w:rsid w:val="460B662B"/>
    <w:rsid w:val="460D12E0"/>
    <w:rsid w:val="46100139"/>
    <w:rsid w:val="46137D73"/>
    <w:rsid w:val="4625557D"/>
    <w:rsid w:val="4642364B"/>
    <w:rsid w:val="464B0F7D"/>
    <w:rsid w:val="464F0E9C"/>
    <w:rsid w:val="465173C0"/>
    <w:rsid w:val="4667402F"/>
    <w:rsid w:val="466D7AE5"/>
    <w:rsid w:val="467E3F9B"/>
    <w:rsid w:val="46825B05"/>
    <w:rsid w:val="4684656F"/>
    <w:rsid w:val="46867C6B"/>
    <w:rsid w:val="46CC7A0B"/>
    <w:rsid w:val="47047ED5"/>
    <w:rsid w:val="47060671"/>
    <w:rsid w:val="470D32F9"/>
    <w:rsid w:val="472C13D1"/>
    <w:rsid w:val="47336826"/>
    <w:rsid w:val="47384EDF"/>
    <w:rsid w:val="473D266B"/>
    <w:rsid w:val="4752194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15778"/>
    <w:rsid w:val="486A5C7B"/>
    <w:rsid w:val="4890364B"/>
    <w:rsid w:val="48BB3F94"/>
    <w:rsid w:val="48CE46D6"/>
    <w:rsid w:val="48D86A98"/>
    <w:rsid w:val="48DE0121"/>
    <w:rsid w:val="48DF2E4F"/>
    <w:rsid w:val="48E03D9C"/>
    <w:rsid w:val="48E14233"/>
    <w:rsid w:val="48E4488B"/>
    <w:rsid w:val="48F246AF"/>
    <w:rsid w:val="48F42039"/>
    <w:rsid w:val="490B656E"/>
    <w:rsid w:val="49226009"/>
    <w:rsid w:val="49374149"/>
    <w:rsid w:val="49376FAD"/>
    <w:rsid w:val="49455CA7"/>
    <w:rsid w:val="495D2F00"/>
    <w:rsid w:val="49613924"/>
    <w:rsid w:val="496D0F3E"/>
    <w:rsid w:val="49703DE5"/>
    <w:rsid w:val="49736122"/>
    <w:rsid w:val="49860FCB"/>
    <w:rsid w:val="49921458"/>
    <w:rsid w:val="49B42429"/>
    <w:rsid w:val="49BA69E4"/>
    <w:rsid w:val="49E12571"/>
    <w:rsid w:val="49E378C6"/>
    <w:rsid w:val="4A2C24D8"/>
    <w:rsid w:val="4A537D07"/>
    <w:rsid w:val="4A7668AA"/>
    <w:rsid w:val="4A834EBE"/>
    <w:rsid w:val="4AB03CA7"/>
    <w:rsid w:val="4AB12C5A"/>
    <w:rsid w:val="4AC4671C"/>
    <w:rsid w:val="4AC50994"/>
    <w:rsid w:val="4AF66BFB"/>
    <w:rsid w:val="4AFB1ED0"/>
    <w:rsid w:val="4B2968F5"/>
    <w:rsid w:val="4B3040AF"/>
    <w:rsid w:val="4B4C012A"/>
    <w:rsid w:val="4B55574A"/>
    <w:rsid w:val="4B87106E"/>
    <w:rsid w:val="4B8B3072"/>
    <w:rsid w:val="4B917087"/>
    <w:rsid w:val="4BA90131"/>
    <w:rsid w:val="4BB36285"/>
    <w:rsid w:val="4BBC594D"/>
    <w:rsid w:val="4BD35EC5"/>
    <w:rsid w:val="4BEA00A9"/>
    <w:rsid w:val="4BEB6CD7"/>
    <w:rsid w:val="4BF55CE7"/>
    <w:rsid w:val="4C1077B0"/>
    <w:rsid w:val="4C182609"/>
    <w:rsid w:val="4C1B3C0A"/>
    <w:rsid w:val="4C275FD0"/>
    <w:rsid w:val="4C3B3B00"/>
    <w:rsid w:val="4C4846F9"/>
    <w:rsid w:val="4C4E694C"/>
    <w:rsid w:val="4C513C42"/>
    <w:rsid w:val="4CAC205F"/>
    <w:rsid w:val="4CBC728A"/>
    <w:rsid w:val="4CBD5591"/>
    <w:rsid w:val="4CCE3C34"/>
    <w:rsid w:val="4CD02623"/>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51555"/>
    <w:rsid w:val="4F180178"/>
    <w:rsid w:val="4F2941D5"/>
    <w:rsid w:val="4F71320A"/>
    <w:rsid w:val="4F753EDE"/>
    <w:rsid w:val="4F93236A"/>
    <w:rsid w:val="4F99730C"/>
    <w:rsid w:val="4FA93369"/>
    <w:rsid w:val="4FB82659"/>
    <w:rsid w:val="4FBC7EF4"/>
    <w:rsid w:val="4FE415A0"/>
    <w:rsid w:val="4FFC0A94"/>
    <w:rsid w:val="4FFF764A"/>
    <w:rsid w:val="50081059"/>
    <w:rsid w:val="500E7931"/>
    <w:rsid w:val="502E6209"/>
    <w:rsid w:val="50344FAE"/>
    <w:rsid w:val="504F4879"/>
    <w:rsid w:val="505500B2"/>
    <w:rsid w:val="50656676"/>
    <w:rsid w:val="509B1F1D"/>
    <w:rsid w:val="509C4E92"/>
    <w:rsid w:val="50C04B0B"/>
    <w:rsid w:val="50C858CD"/>
    <w:rsid w:val="50D259A5"/>
    <w:rsid w:val="50D82201"/>
    <w:rsid w:val="50DC7283"/>
    <w:rsid w:val="50F36CD9"/>
    <w:rsid w:val="51250805"/>
    <w:rsid w:val="512E641B"/>
    <w:rsid w:val="51315DCD"/>
    <w:rsid w:val="51501AF7"/>
    <w:rsid w:val="5155089B"/>
    <w:rsid w:val="515F63F0"/>
    <w:rsid w:val="516A4217"/>
    <w:rsid w:val="517D059D"/>
    <w:rsid w:val="519A289D"/>
    <w:rsid w:val="51CB4C4F"/>
    <w:rsid w:val="51DD1D48"/>
    <w:rsid w:val="51FA0C8B"/>
    <w:rsid w:val="51FA56D9"/>
    <w:rsid w:val="520C1CBB"/>
    <w:rsid w:val="521723B7"/>
    <w:rsid w:val="522867CF"/>
    <w:rsid w:val="523F7F97"/>
    <w:rsid w:val="52792F81"/>
    <w:rsid w:val="529F210D"/>
    <w:rsid w:val="52F163DB"/>
    <w:rsid w:val="52FA0600"/>
    <w:rsid w:val="52FA6FA7"/>
    <w:rsid w:val="53047529"/>
    <w:rsid w:val="53341DB7"/>
    <w:rsid w:val="5353492A"/>
    <w:rsid w:val="53594B23"/>
    <w:rsid w:val="538D7C48"/>
    <w:rsid w:val="539F17A8"/>
    <w:rsid w:val="53B2347B"/>
    <w:rsid w:val="53B9060B"/>
    <w:rsid w:val="53C87B8D"/>
    <w:rsid w:val="53D16D52"/>
    <w:rsid w:val="54107975"/>
    <w:rsid w:val="542B0C57"/>
    <w:rsid w:val="5451551D"/>
    <w:rsid w:val="545355A9"/>
    <w:rsid w:val="546B1B31"/>
    <w:rsid w:val="548B3E8B"/>
    <w:rsid w:val="548C2C0D"/>
    <w:rsid w:val="548E4389"/>
    <w:rsid w:val="54904CFB"/>
    <w:rsid w:val="54907BD2"/>
    <w:rsid w:val="549D5DDD"/>
    <w:rsid w:val="54B87D33"/>
    <w:rsid w:val="54CE168A"/>
    <w:rsid w:val="54D6790A"/>
    <w:rsid w:val="54D768B9"/>
    <w:rsid w:val="54E8380C"/>
    <w:rsid w:val="55033077"/>
    <w:rsid w:val="55162205"/>
    <w:rsid w:val="551F2FB4"/>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194FE1"/>
    <w:rsid w:val="5722338D"/>
    <w:rsid w:val="57460503"/>
    <w:rsid w:val="575272DC"/>
    <w:rsid w:val="575370FA"/>
    <w:rsid w:val="57632F08"/>
    <w:rsid w:val="577309DF"/>
    <w:rsid w:val="577771E6"/>
    <w:rsid w:val="578F7545"/>
    <w:rsid w:val="57B548D9"/>
    <w:rsid w:val="57BD0A78"/>
    <w:rsid w:val="57CC04C0"/>
    <w:rsid w:val="57DC673E"/>
    <w:rsid w:val="57DC6FDD"/>
    <w:rsid w:val="57EF7074"/>
    <w:rsid w:val="57F5061B"/>
    <w:rsid w:val="57FB5F50"/>
    <w:rsid w:val="58067D1A"/>
    <w:rsid w:val="5815278F"/>
    <w:rsid w:val="58393B8A"/>
    <w:rsid w:val="586919C2"/>
    <w:rsid w:val="58746E49"/>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811062"/>
    <w:rsid w:val="59954BBD"/>
    <w:rsid w:val="59974D7F"/>
    <w:rsid w:val="599F5B19"/>
    <w:rsid w:val="59A5251A"/>
    <w:rsid w:val="59C407FC"/>
    <w:rsid w:val="59C754AB"/>
    <w:rsid w:val="59E079AB"/>
    <w:rsid w:val="5A375749"/>
    <w:rsid w:val="5A5A162D"/>
    <w:rsid w:val="5A704B6C"/>
    <w:rsid w:val="5A726BA0"/>
    <w:rsid w:val="5A7A51BD"/>
    <w:rsid w:val="5A7D01C5"/>
    <w:rsid w:val="5A7F6D0A"/>
    <w:rsid w:val="5A815418"/>
    <w:rsid w:val="5A953E79"/>
    <w:rsid w:val="5AA76A41"/>
    <w:rsid w:val="5AB04EA5"/>
    <w:rsid w:val="5AB82FDD"/>
    <w:rsid w:val="5AD3204F"/>
    <w:rsid w:val="5AE94788"/>
    <w:rsid w:val="5AE97F46"/>
    <w:rsid w:val="5B00794B"/>
    <w:rsid w:val="5B0428AA"/>
    <w:rsid w:val="5B071BBA"/>
    <w:rsid w:val="5B1755F0"/>
    <w:rsid w:val="5B3C55BF"/>
    <w:rsid w:val="5B4365D0"/>
    <w:rsid w:val="5B465B06"/>
    <w:rsid w:val="5B4B4883"/>
    <w:rsid w:val="5B63756F"/>
    <w:rsid w:val="5B725B6B"/>
    <w:rsid w:val="5B872683"/>
    <w:rsid w:val="5BB47215"/>
    <w:rsid w:val="5BBE026D"/>
    <w:rsid w:val="5BD439A7"/>
    <w:rsid w:val="5BDF3319"/>
    <w:rsid w:val="5BE14EE6"/>
    <w:rsid w:val="5BE50F57"/>
    <w:rsid w:val="5C1234ED"/>
    <w:rsid w:val="5C3743B4"/>
    <w:rsid w:val="5C4141D5"/>
    <w:rsid w:val="5C471564"/>
    <w:rsid w:val="5C620BCF"/>
    <w:rsid w:val="5C77698C"/>
    <w:rsid w:val="5C781836"/>
    <w:rsid w:val="5C7979D9"/>
    <w:rsid w:val="5C816B93"/>
    <w:rsid w:val="5C835DA4"/>
    <w:rsid w:val="5C991133"/>
    <w:rsid w:val="5C995E25"/>
    <w:rsid w:val="5CCA7814"/>
    <w:rsid w:val="5CF2764C"/>
    <w:rsid w:val="5D2105A2"/>
    <w:rsid w:val="5D2515AC"/>
    <w:rsid w:val="5D481341"/>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566352"/>
    <w:rsid w:val="5E790BE8"/>
    <w:rsid w:val="5E885F76"/>
    <w:rsid w:val="5E973039"/>
    <w:rsid w:val="5E983774"/>
    <w:rsid w:val="5EA87B0A"/>
    <w:rsid w:val="5EB119EE"/>
    <w:rsid w:val="5EB463AF"/>
    <w:rsid w:val="5EB467AE"/>
    <w:rsid w:val="5EB8383D"/>
    <w:rsid w:val="5EBA5427"/>
    <w:rsid w:val="5EEC613B"/>
    <w:rsid w:val="5EED14B3"/>
    <w:rsid w:val="5EEE4EC3"/>
    <w:rsid w:val="5EEF7AA9"/>
    <w:rsid w:val="5F0B70CF"/>
    <w:rsid w:val="5F10609D"/>
    <w:rsid w:val="5F313310"/>
    <w:rsid w:val="5F386135"/>
    <w:rsid w:val="5F3E2940"/>
    <w:rsid w:val="5F4630CA"/>
    <w:rsid w:val="5F4945D9"/>
    <w:rsid w:val="5F4E4F30"/>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65C48"/>
    <w:rsid w:val="5FE34146"/>
    <w:rsid w:val="5FF80716"/>
    <w:rsid w:val="5FFC6F84"/>
    <w:rsid w:val="601A7A49"/>
    <w:rsid w:val="60274ACB"/>
    <w:rsid w:val="602F4794"/>
    <w:rsid w:val="603776E1"/>
    <w:rsid w:val="60480813"/>
    <w:rsid w:val="605B067C"/>
    <w:rsid w:val="60644677"/>
    <w:rsid w:val="607E39C5"/>
    <w:rsid w:val="607E6A9B"/>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C16E82"/>
    <w:rsid w:val="61D14FC7"/>
    <w:rsid w:val="61D81A5C"/>
    <w:rsid w:val="61E04DCB"/>
    <w:rsid w:val="61E8442E"/>
    <w:rsid w:val="62002FC8"/>
    <w:rsid w:val="620D1678"/>
    <w:rsid w:val="620E18D5"/>
    <w:rsid w:val="621211E9"/>
    <w:rsid w:val="62283578"/>
    <w:rsid w:val="62352760"/>
    <w:rsid w:val="623F448E"/>
    <w:rsid w:val="624E4851"/>
    <w:rsid w:val="624F1D5A"/>
    <w:rsid w:val="62756A63"/>
    <w:rsid w:val="629F2E6C"/>
    <w:rsid w:val="62A07791"/>
    <w:rsid w:val="62A57FE5"/>
    <w:rsid w:val="62B74829"/>
    <w:rsid w:val="62B8321C"/>
    <w:rsid w:val="62BA3305"/>
    <w:rsid w:val="62BB392D"/>
    <w:rsid w:val="62BE4F7F"/>
    <w:rsid w:val="62DF24F6"/>
    <w:rsid w:val="62EB6487"/>
    <w:rsid w:val="630962B4"/>
    <w:rsid w:val="63280E77"/>
    <w:rsid w:val="63436BBB"/>
    <w:rsid w:val="63445A74"/>
    <w:rsid w:val="636364C9"/>
    <w:rsid w:val="63766DF5"/>
    <w:rsid w:val="63853AFA"/>
    <w:rsid w:val="63AB7020"/>
    <w:rsid w:val="63B74571"/>
    <w:rsid w:val="63BE6B4B"/>
    <w:rsid w:val="63D91547"/>
    <w:rsid w:val="63DB565E"/>
    <w:rsid w:val="63E22A79"/>
    <w:rsid w:val="63E41E32"/>
    <w:rsid w:val="6406254B"/>
    <w:rsid w:val="642E5E2C"/>
    <w:rsid w:val="64315BCD"/>
    <w:rsid w:val="643541E1"/>
    <w:rsid w:val="643636FB"/>
    <w:rsid w:val="64500FFB"/>
    <w:rsid w:val="6452182E"/>
    <w:rsid w:val="64522BD2"/>
    <w:rsid w:val="645A17CF"/>
    <w:rsid w:val="645A2446"/>
    <w:rsid w:val="646766DC"/>
    <w:rsid w:val="6472185A"/>
    <w:rsid w:val="648636C5"/>
    <w:rsid w:val="648A4A7E"/>
    <w:rsid w:val="649A6C8B"/>
    <w:rsid w:val="649E465B"/>
    <w:rsid w:val="64A30783"/>
    <w:rsid w:val="64D31BFB"/>
    <w:rsid w:val="64E010F2"/>
    <w:rsid w:val="64E862D1"/>
    <w:rsid w:val="64EA1255"/>
    <w:rsid w:val="64F94D22"/>
    <w:rsid w:val="6503009D"/>
    <w:rsid w:val="65045407"/>
    <w:rsid w:val="65067F10"/>
    <w:rsid w:val="651E1972"/>
    <w:rsid w:val="651E5E20"/>
    <w:rsid w:val="653A64C4"/>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03069"/>
    <w:rsid w:val="66373410"/>
    <w:rsid w:val="663E0E23"/>
    <w:rsid w:val="66527F23"/>
    <w:rsid w:val="66534C6B"/>
    <w:rsid w:val="66576902"/>
    <w:rsid w:val="669369C9"/>
    <w:rsid w:val="66943B2D"/>
    <w:rsid w:val="669F4B5C"/>
    <w:rsid w:val="66A9581B"/>
    <w:rsid w:val="66B3780A"/>
    <w:rsid w:val="66BC1337"/>
    <w:rsid w:val="66C14F25"/>
    <w:rsid w:val="66D82AA7"/>
    <w:rsid w:val="66E9436F"/>
    <w:rsid w:val="66FC210D"/>
    <w:rsid w:val="670859AA"/>
    <w:rsid w:val="670F5436"/>
    <w:rsid w:val="67163169"/>
    <w:rsid w:val="67165E6D"/>
    <w:rsid w:val="67212F62"/>
    <w:rsid w:val="674A3201"/>
    <w:rsid w:val="675A1CF7"/>
    <w:rsid w:val="675C3600"/>
    <w:rsid w:val="6761194F"/>
    <w:rsid w:val="67626BF9"/>
    <w:rsid w:val="67716FE5"/>
    <w:rsid w:val="677B09DF"/>
    <w:rsid w:val="677F7400"/>
    <w:rsid w:val="679B2FA4"/>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F312A"/>
    <w:rsid w:val="68603781"/>
    <w:rsid w:val="687820DB"/>
    <w:rsid w:val="68886D51"/>
    <w:rsid w:val="68BE6116"/>
    <w:rsid w:val="68CC70D7"/>
    <w:rsid w:val="68EC7E2C"/>
    <w:rsid w:val="6922410C"/>
    <w:rsid w:val="69291ACC"/>
    <w:rsid w:val="693F57CE"/>
    <w:rsid w:val="69433D4A"/>
    <w:rsid w:val="694765A9"/>
    <w:rsid w:val="696B32FD"/>
    <w:rsid w:val="69797C2C"/>
    <w:rsid w:val="697E1D1A"/>
    <w:rsid w:val="69801F66"/>
    <w:rsid w:val="69934F4E"/>
    <w:rsid w:val="69A31349"/>
    <w:rsid w:val="69AB78DD"/>
    <w:rsid w:val="69BC3EEF"/>
    <w:rsid w:val="69C56B8B"/>
    <w:rsid w:val="69CA05D4"/>
    <w:rsid w:val="69CF5945"/>
    <w:rsid w:val="69D171A3"/>
    <w:rsid w:val="69D74CDC"/>
    <w:rsid w:val="6A1C0853"/>
    <w:rsid w:val="6A206938"/>
    <w:rsid w:val="6A22136E"/>
    <w:rsid w:val="6A2F1F48"/>
    <w:rsid w:val="6A3B19EC"/>
    <w:rsid w:val="6A412A6B"/>
    <w:rsid w:val="6A6C5A40"/>
    <w:rsid w:val="6A7135EA"/>
    <w:rsid w:val="6A7449B2"/>
    <w:rsid w:val="6A9B47A1"/>
    <w:rsid w:val="6AAB1612"/>
    <w:rsid w:val="6AB312D3"/>
    <w:rsid w:val="6ACE01E1"/>
    <w:rsid w:val="6AE4147F"/>
    <w:rsid w:val="6AFA1EBA"/>
    <w:rsid w:val="6AFF14C0"/>
    <w:rsid w:val="6B081F48"/>
    <w:rsid w:val="6B0E13E7"/>
    <w:rsid w:val="6B1301B0"/>
    <w:rsid w:val="6B29781B"/>
    <w:rsid w:val="6B391278"/>
    <w:rsid w:val="6B5068BA"/>
    <w:rsid w:val="6B911907"/>
    <w:rsid w:val="6B93194A"/>
    <w:rsid w:val="6BA630C5"/>
    <w:rsid w:val="6BA903B0"/>
    <w:rsid w:val="6BE1578C"/>
    <w:rsid w:val="6BFF0085"/>
    <w:rsid w:val="6C071FE6"/>
    <w:rsid w:val="6C1653E3"/>
    <w:rsid w:val="6C1C26F1"/>
    <w:rsid w:val="6C2E780A"/>
    <w:rsid w:val="6C2F5929"/>
    <w:rsid w:val="6C321BE0"/>
    <w:rsid w:val="6C5569A0"/>
    <w:rsid w:val="6C5E35D9"/>
    <w:rsid w:val="6C8F2277"/>
    <w:rsid w:val="6CBE6C13"/>
    <w:rsid w:val="6CC91339"/>
    <w:rsid w:val="6CF9742D"/>
    <w:rsid w:val="6D0E4209"/>
    <w:rsid w:val="6D17028B"/>
    <w:rsid w:val="6D1F7E14"/>
    <w:rsid w:val="6D2552D8"/>
    <w:rsid w:val="6D2935A9"/>
    <w:rsid w:val="6D302D5D"/>
    <w:rsid w:val="6D3C235D"/>
    <w:rsid w:val="6D625405"/>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372360"/>
    <w:rsid w:val="6E4F724A"/>
    <w:rsid w:val="6E567116"/>
    <w:rsid w:val="6E60770D"/>
    <w:rsid w:val="6E787A4C"/>
    <w:rsid w:val="6E9A343A"/>
    <w:rsid w:val="6EB80F65"/>
    <w:rsid w:val="6EC00E6F"/>
    <w:rsid w:val="6EDF26C0"/>
    <w:rsid w:val="6F037853"/>
    <w:rsid w:val="6F0B0650"/>
    <w:rsid w:val="6F134DCC"/>
    <w:rsid w:val="6F185222"/>
    <w:rsid w:val="6F2930B1"/>
    <w:rsid w:val="6F413BA6"/>
    <w:rsid w:val="6F420EF4"/>
    <w:rsid w:val="6F655A87"/>
    <w:rsid w:val="6F7B3028"/>
    <w:rsid w:val="6FA027BC"/>
    <w:rsid w:val="6FA66AC6"/>
    <w:rsid w:val="6FAE0DF3"/>
    <w:rsid w:val="6FB22498"/>
    <w:rsid w:val="6FC532EA"/>
    <w:rsid w:val="6FC55DFE"/>
    <w:rsid w:val="6FC76C53"/>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50A12"/>
    <w:rsid w:val="70AA75EE"/>
    <w:rsid w:val="70AC7790"/>
    <w:rsid w:val="70C34169"/>
    <w:rsid w:val="7123427A"/>
    <w:rsid w:val="71236F53"/>
    <w:rsid w:val="7127456D"/>
    <w:rsid w:val="712914EF"/>
    <w:rsid w:val="71561B20"/>
    <w:rsid w:val="716329A8"/>
    <w:rsid w:val="716D1937"/>
    <w:rsid w:val="71713A23"/>
    <w:rsid w:val="717B4AB7"/>
    <w:rsid w:val="717C199B"/>
    <w:rsid w:val="71A67132"/>
    <w:rsid w:val="71AA3CCF"/>
    <w:rsid w:val="71B55C52"/>
    <w:rsid w:val="71C40910"/>
    <w:rsid w:val="71C74D7F"/>
    <w:rsid w:val="71E31446"/>
    <w:rsid w:val="71EF2FA5"/>
    <w:rsid w:val="720E19E5"/>
    <w:rsid w:val="7210341D"/>
    <w:rsid w:val="725F7758"/>
    <w:rsid w:val="72605C54"/>
    <w:rsid w:val="7261110F"/>
    <w:rsid w:val="72934D7E"/>
    <w:rsid w:val="72981B2B"/>
    <w:rsid w:val="729C37EF"/>
    <w:rsid w:val="72A16889"/>
    <w:rsid w:val="72C12A96"/>
    <w:rsid w:val="72EF421A"/>
    <w:rsid w:val="730D0EA6"/>
    <w:rsid w:val="732C19D7"/>
    <w:rsid w:val="733A0A84"/>
    <w:rsid w:val="73624F26"/>
    <w:rsid w:val="736C6888"/>
    <w:rsid w:val="73762650"/>
    <w:rsid w:val="737F4DAF"/>
    <w:rsid w:val="738543EF"/>
    <w:rsid w:val="739B1EBD"/>
    <w:rsid w:val="73AF18CB"/>
    <w:rsid w:val="73B9425D"/>
    <w:rsid w:val="73D2043B"/>
    <w:rsid w:val="73E77B7E"/>
    <w:rsid w:val="73ED4A58"/>
    <w:rsid w:val="73EF313F"/>
    <w:rsid w:val="73F12374"/>
    <w:rsid w:val="73F63ECF"/>
    <w:rsid w:val="73F932D9"/>
    <w:rsid w:val="73FC51F2"/>
    <w:rsid w:val="740422B3"/>
    <w:rsid w:val="74046E91"/>
    <w:rsid w:val="74255B81"/>
    <w:rsid w:val="7428282C"/>
    <w:rsid w:val="743D6CE9"/>
    <w:rsid w:val="74796ABE"/>
    <w:rsid w:val="74886385"/>
    <w:rsid w:val="74A03645"/>
    <w:rsid w:val="74A87093"/>
    <w:rsid w:val="74C80433"/>
    <w:rsid w:val="74C9420E"/>
    <w:rsid w:val="74E229B4"/>
    <w:rsid w:val="74E9694C"/>
    <w:rsid w:val="74EC26A7"/>
    <w:rsid w:val="75034CF7"/>
    <w:rsid w:val="75097CA2"/>
    <w:rsid w:val="751B0580"/>
    <w:rsid w:val="754915E5"/>
    <w:rsid w:val="759318B9"/>
    <w:rsid w:val="75C05047"/>
    <w:rsid w:val="75DF32A0"/>
    <w:rsid w:val="75ED010F"/>
    <w:rsid w:val="760A43BF"/>
    <w:rsid w:val="761321E0"/>
    <w:rsid w:val="761450E8"/>
    <w:rsid w:val="761F2B35"/>
    <w:rsid w:val="763F48E5"/>
    <w:rsid w:val="765D589D"/>
    <w:rsid w:val="76732694"/>
    <w:rsid w:val="768A2163"/>
    <w:rsid w:val="768D28C6"/>
    <w:rsid w:val="76A133C0"/>
    <w:rsid w:val="76BA05D5"/>
    <w:rsid w:val="76D36025"/>
    <w:rsid w:val="76D40264"/>
    <w:rsid w:val="76DE0685"/>
    <w:rsid w:val="76E133F1"/>
    <w:rsid w:val="76E93A29"/>
    <w:rsid w:val="76F169A1"/>
    <w:rsid w:val="76F90CF5"/>
    <w:rsid w:val="77250572"/>
    <w:rsid w:val="772E08AA"/>
    <w:rsid w:val="772F2936"/>
    <w:rsid w:val="773F3622"/>
    <w:rsid w:val="774C59F2"/>
    <w:rsid w:val="776B6DA8"/>
    <w:rsid w:val="77796EC8"/>
    <w:rsid w:val="77882976"/>
    <w:rsid w:val="779D5554"/>
    <w:rsid w:val="77AF6C41"/>
    <w:rsid w:val="77B21E06"/>
    <w:rsid w:val="77B63205"/>
    <w:rsid w:val="77DE796E"/>
    <w:rsid w:val="77E770C4"/>
    <w:rsid w:val="7800792D"/>
    <w:rsid w:val="78035215"/>
    <w:rsid w:val="780C00B1"/>
    <w:rsid w:val="780F0912"/>
    <w:rsid w:val="782718D9"/>
    <w:rsid w:val="784F6AB7"/>
    <w:rsid w:val="786F5DE8"/>
    <w:rsid w:val="78C91149"/>
    <w:rsid w:val="78D61CB2"/>
    <w:rsid w:val="78F104FB"/>
    <w:rsid w:val="78FD61AA"/>
    <w:rsid w:val="79493EB1"/>
    <w:rsid w:val="79547B1C"/>
    <w:rsid w:val="797C5F0E"/>
    <w:rsid w:val="797C66CF"/>
    <w:rsid w:val="79A0041F"/>
    <w:rsid w:val="79A21387"/>
    <w:rsid w:val="79C5647C"/>
    <w:rsid w:val="79DA25FF"/>
    <w:rsid w:val="79FD1C18"/>
    <w:rsid w:val="7A20416A"/>
    <w:rsid w:val="7A556CAE"/>
    <w:rsid w:val="7A5D7279"/>
    <w:rsid w:val="7A6239BE"/>
    <w:rsid w:val="7A7550A6"/>
    <w:rsid w:val="7A92135A"/>
    <w:rsid w:val="7AAF3771"/>
    <w:rsid w:val="7AE335B2"/>
    <w:rsid w:val="7AEC001A"/>
    <w:rsid w:val="7B375CD2"/>
    <w:rsid w:val="7B3F41B2"/>
    <w:rsid w:val="7B475761"/>
    <w:rsid w:val="7B49298E"/>
    <w:rsid w:val="7B7B57F5"/>
    <w:rsid w:val="7B7D3C44"/>
    <w:rsid w:val="7BDB57AC"/>
    <w:rsid w:val="7BE208A5"/>
    <w:rsid w:val="7BE3068E"/>
    <w:rsid w:val="7BFC0829"/>
    <w:rsid w:val="7C150EF5"/>
    <w:rsid w:val="7C37421B"/>
    <w:rsid w:val="7C465BE7"/>
    <w:rsid w:val="7C4D4686"/>
    <w:rsid w:val="7C6C2E13"/>
    <w:rsid w:val="7C8C7010"/>
    <w:rsid w:val="7C9E2FDD"/>
    <w:rsid w:val="7CA33A5A"/>
    <w:rsid w:val="7CAF51D0"/>
    <w:rsid w:val="7CAF6655"/>
    <w:rsid w:val="7CB50BD5"/>
    <w:rsid w:val="7CC929B6"/>
    <w:rsid w:val="7CD64AD7"/>
    <w:rsid w:val="7CDA0194"/>
    <w:rsid w:val="7D0F55E6"/>
    <w:rsid w:val="7D2A73BF"/>
    <w:rsid w:val="7D405935"/>
    <w:rsid w:val="7D6E224F"/>
    <w:rsid w:val="7D734E83"/>
    <w:rsid w:val="7D82314F"/>
    <w:rsid w:val="7D87285F"/>
    <w:rsid w:val="7D89699F"/>
    <w:rsid w:val="7D904F9B"/>
    <w:rsid w:val="7D905BA1"/>
    <w:rsid w:val="7D986E0A"/>
    <w:rsid w:val="7D9B3B81"/>
    <w:rsid w:val="7D9F54C6"/>
    <w:rsid w:val="7DA87B6D"/>
    <w:rsid w:val="7DA957CB"/>
    <w:rsid w:val="7DB01727"/>
    <w:rsid w:val="7DC82C31"/>
    <w:rsid w:val="7DEA3A6E"/>
    <w:rsid w:val="7DF366F8"/>
    <w:rsid w:val="7DF97044"/>
    <w:rsid w:val="7E0E18D2"/>
    <w:rsid w:val="7E0F7674"/>
    <w:rsid w:val="7E1E0238"/>
    <w:rsid w:val="7E1F6225"/>
    <w:rsid w:val="7E5940F2"/>
    <w:rsid w:val="7E5B35FF"/>
    <w:rsid w:val="7E6916D3"/>
    <w:rsid w:val="7E772088"/>
    <w:rsid w:val="7E7D6D6E"/>
    <w:rsid w:val="7E9273C7"/>
    <w:rsid w:val="7EA33491"/>
    <w:rsid w:val="7EAF66B4"/>
    <w:rsid w:val="7EB6487C"/>
    <w:rsid w:val="7EBF2EFE"/>
    <w:rsid w:val="7ECC1030"/>
    <w:rsid w:val="7EEB179A"/>
    <w:rsid w:val="7EF246E4"/>
    <w:rsid w:val="7EFE1A4D"/>
    <w:rsid w:val="7F2137F9"/>
    <w:rsid w:val="7F504ACB"/>
    <w:rsid w:val="7F5F6399"/>
    <w:rsid w:val="7F7D3E01"/>
    <w:rsid w:val="7F7E403F"/>
    <w:rsid w:val="7F80553B"/>
    <w:rsid w:val="7F874A62"/>
    <w:rsid w:val="7F8B2D4B"/>
    <w:rsid w:val="7F9365C7"/>
    <w:rsid w:val="7FB32392"/>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5"/>
    <w:qFormat/>
    <w:uiPriority w:val="0"/>
    <w:pPr>
      <w:numPr>
        <w:ilvl w:val="4"/>
      </w:numPr>
      <w:tabs>
        <w:tab w:val="left" w:pos="1008"/>
        <w:tab w:val="left" w:pos="2383"/>
        <w:tab w:val="clear" w:pos="432"/>
        <w:tab w:val="clear" w:pos="864"/>
        <w:tab w:val="clear" w:pos="2071"/>
      </w:tabs>
      <w:outlineLvl w:val="4"/>
    </w:pPr>
  </w:style>
  <w:style w:type="paragraph" w:styleId="7">
    <w:name w:val="heading 6"/>
    <w:basedOn w:val="8"/>
    <w:next w:val="1"/>
    <w:link w:val="76"/>
    <w:qFormat/>
    <w:uiPriority w:val="0"/>
    <w:pPr>
      <w:numPr>
        <w:ilvl w:val="5"/>
      </w:numPr>
      <w:tabs>
        <w:tab w:val="left" w:pos="1151"/>
        <w:tab w:val="left" w:pos="2695"/>
      </w:tabs>
      <w:spacing w:before="240" w:after="64" w:line="317" w:lineRule="auto"/>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
    <w:unhideWhenUsed/>
    <w:qFormat/>
    <w:uiPriority w:val="0"/>
    <w:pPr>
      <w:ind w:left="100" w:leftChars="200"/>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cs="Arial"/>
      <w:b/>
      <w:bCs/>
      <w:kern w:val="28"/>
    </w:rPr>
  </w:style>
  <w:style w:type="paragraph" w:styleId="57">
    <w:name w:val="annotation subject"/>
    <w:basedOn w:val="26"/>
    <w:next w:val="26"/>
    <w:link w:val="93"/>
    <w:semiHidden/>
    <w:qFormat/>
    <w:uiPriority w:val="0"/>
    <w:pPr>
      <w:widowControl/>
      <w:spacing w:before="40"/>
    </w:pPr>
    <w:rPr>
      <w:rFonts w:eastAsia="MS Mincho"/>
      <w:b/>
      <w:bCs/>
      <w:kern w:val="0"/>
      <w:sz w:val="20"/>
      <w:szCs w:val="20"/>
    </w:rPr>
  </w:style>
  <w:style w:type="table" w:styleId="59">
    <w:name w:val="Table Grid"/>
    <w:basedOn w:val="58"/>
    <w:qFormat/>
    <w:uiPriority w:val="9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7"/>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cs="Arial"/>
      <w:b/>
    </w:rPr>
  </w:style>
  <w:style w:type="table" w:customStyle="1" w:styleId="291">
    <w:name w:val="网格型1"/>
    <w:basedOn w:val="58"/>
    <w:qFormat/>
    <w:uiPriority w:val="0"/>
    <w:rPr>
      <w:rFonts w:ascii="Calibri" w:hAnsi="Calibri"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List Paragraph1"/>
    <w:basedOn w:val="1"/>
    <w:semiHidden/>
    <w:qFormat/>
    <w:uiPriority w:val="0"/>
    <w:pPr>
      <w:spacing w:before="100" w:beforeAutospacing="1" w:line="256" w:lineRule="auto"/>
      <w:ind w:firstLine="420" w:firstLineChars="200"/>
    </w:pPr>
    <w:rPr>
      <w:rFonts w:eastAsia="宋体"/>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94680-C973-45A3-8592-79176C4D0B1B}">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14</Pages>
  <Words>5020</Words>
  <Characters>28616</Characters>
  <Lines>238</Lines>
  <Paragraphs>67</Paragraphs>
  <TotalTime>931</TotalTime>
  <ScaleCrop>false</ScaleCrop>
  <LinksUpToDate>false</LinksUpToDate>
  <CharactersWithSpaces>33569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2024-04-03T06:12:00Z</dcterms:created>
  <dc:creator>10033860</dc:creator>
  <cp:lastModifiedBy>ZTE-YP</cp:lastModifiedBy>
  <cp:lastPrinted>2113-01-01T00:00:00Z</cp:lastPrinted>
  <dcterms:modified xsi:type="dcterms:W3CDTF">2024-04-05T08:18:33Z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1967F93C92D34431B7DB675934D5F3DA</vt:lpwstr>
  </property>
</Properties>
</file>